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134" w:rsidRDefault="008E4134" w:rsidP="00E441A4">
      <w:pPr>
        <w:pStyle w:val="2"/>
        <w:ind w:right="-1"/>
        <w:jc w:val="center"/>
        <w:rPr>
          <w:bCs/>
        </w:rPr>
      </w:pPr>
      <w:r w:rsidRPr="001618E8">
        <w:rPr>
          <w:bCs/>
        </w:rPr>
        <w:t xml:space="preserve">Основные </w:t>
      </w:r>
      <w:r>
        <w:rPr>
          <w:bCs/>
        </w:rPr>
        <w:t xml:space="preserve">показатели </w:t>
      </w:r>
      <w:r w:rsidRPr="001618E8">
        <w:rPr>
          <w:bCs/>
        </w:rPr>
        <w:t>социально-экономического развития</w:t>
      </w:r>
      <w:r w:rsidRPr="001618E8">
        <w:rPr>
          <w:bCs/>
        </w:rPr>
        <w:br/>
        <w:t xml:space="preserve"> Санкт-Петербурга в январе-</w:t>
      </w:r>
      <w:r w:rsidR="0017180B">
        <w:rPr>
          <w:bCs/>
        </w:rPr>
        <w:t>ноябре</w:t>
      </w:r>
      <w:r w:rsidRPr="001618E8">
        <w:rPr>
          <w:bCs/>
        </w:rPr>
        <w:t xml:space="preserve"> 201</w:t>
      </w:r>
      <w:r w:rsidR="0017180B">
        <w:rPr>
          <w:bCs/>
        </w:rPr>
        <w:t>5</w:t>
      </w:r>
      <w:r w:rsidRPr="001618E8">
        <w:rPr>
          <w:bCs/>
        </w:rPr>
        <w:t xml:space="preserve"> года</w:t>
      </w:r>
    </w:p>
    <w:p w:rsidR="00F468B1" w:rsidRDefault="00F468B1" w:rsidP="00F468B1">
      <w:pPr>
        <w:rPr>
          <w:lang w:eastAsia="ru-RU"/>
        </w:rPr>
      </w:pPr>
    </w:p>
    <w:p w:rsidR="00F468B1" w:rsidRDefault="00F468B1" w:rsidP="00F468B1">
      <w:pPr>
        <w:spacing w:after="0" w:line="240" w:lineRule="auto"/>
        <w:ind w:firstLine="709"/>
        <w:jc w:val="both"/>
        <w:rPr>
          <w:rFonts w:ascii="Times New Roman" w:hAnsi="Times New Roman" w:cs="Times New Roman"/>
          <w:bCs/>
          <w:sz w:val="28"/>
          <w:szCs w:val="28"/>
        </w:rPr>
      </w:pPr>
      <w:r w:rsidRPr="003D1238">
        <w:rPr>
          <w:rFonts w:ascii="Times New Roman" w:hAnsi="Times New Roman" w:cs="Times New Roman"/>
          <w:bCs/>
          <w:sz w:val="28"/>
          <w:szCs w:val="28"/>
        </w:rPr>
        <w:t>На данный момент экономика Санкт-Петербурга продолжает адаптироваться      к тенденциям, сложившимся на уровне Российской Федерации в целом</w:t>
      </w:r>
      <w:r>
        <w:rPr>
          <w:rFonts w:ascii="Times New Roman" w:hAnsi="Times New Roman" w:cs="Times New Roman"/>
          <w:bCs/>
          <w:sz w:val="28"/>
          <w:szCs w:val="28"/>
        </w:rPr>
        <w:t>.</w:t>
      </w:r>
      <w:r w:rsidRPr="003D1238">
        <w:rPr>
          <w:rFonts w:ascii="Times New Roman" w:hAnsi="Times New Roman" w:cs="Times New Roman"/>
          <w:bCs/>
          <w:sz w:val="28"/>
          <w:szCs w:val="28"/>
        </w:rPr>
        <w:t xml:space="preserve"> </w:t>
      </w:r>
      <w:r>
        <w:rPr>
          <w:rFonts w:ascii="Times New Roman" w:hAnsi="Times New Roman" w:cs="Times New Roman"/>
          <w:bCs/>
          <w:sz w:val="28"/>
          <w:szCs w:val="28"/>
        </w:rPr>
        <w:t>К</w:t>
      </w:r>
      <w:r w:rsidRPr="003D1238">
        <w:rPr>
          <w:rFonts w:ascii="Times New Roman" w:hAnsi="Times New Roman" w:cs="Times New Roman"/>
          <w:bCs/>
          <w:sz w:val="28"/>
          <w:szCs w:val="28"/>
        </w:rPr>
        <w:t>лючевыми факторами в данной связи являются вступление экономики страны в цикл невысоких сырьевых цен, колебания курса национальной валюты, изменения устройства рынков мировой торговли (национальный протекционизм, новые формы торговых союзов). Следствием этих процессов явился рост инфляции, сокращение потребления, рост стоимости заемных средств, спад производства по многим отраслям, снижение внешнето</w:t>
      </w:r>
      <w:r>
        <w:rPr>
          <w:rFonts w:ascii="Times New Roman" w:hAnsi="Times New Roman" w:cs="Times New Roman"/>
          <w:bCs/>
          <w:sz w:val="28"/>
          <w:szCs w:val="28"/>
        </w:rPr>
        <w:t>ргового оборота и инвестиционной активности</w:t>
      </w:r>
      <w:r w:rsidRPr="003D1238">
        <w:rPr>
          <w:rFonts w:ascii="Times New Roman" w:hAnsi="Times New Roman" w:cs="Times New Roman"/>
          <w:bCs/>
          <w:sz w:val="28"/>
          <w:szCs w:val="28"/>
        </w:rPr>
        <w:t>.</w:t>
      </w:r>
    </w:p>
    <w:p w:rsidR="00F468B1" w:rsidRDefault="00F468B1" w:rsidP="00F468B1">
      <w:pPr>
        <w:spacing w:after="0" w:line="240" w:lineRule="auto"/>
        <w:ind w:firstLine="709"/>
        <w:jc w:val="both"/>
        <w:rPr>
          <w:rFonts w:ascii="Times New Roman" w:hAnsi="Times New Roman" w:cs="Times New Roman"/>
          <w:bCs/>
          <w:sz w:val="28"/>
          <w:szCs w:val="28"/>
        </w:rPr>
      </w:pPr>
      <w:r w:rsidRPr="00E21A0B">
        <w:rPr>
          <w:rFonts w:ascii="Times New Roman" w:hAnsi="Times New Roman" w:cs="Times New Roman"/>
          <w:bCs/>
          <w:sz w:val="28"/>
          <w:szCs w:val="28"/>
        </w:rPr>
        <w:t>При этом в настоящее время наблюдается замедление темпов падения по ряду показателей развития экономики по сравнению с началом года, что свидетельствует о том, что пик кризиса остался позади. Экономика приспосабливается к изменяющимся условиям, что является первым признаком стабилизации.</w:t>
      </w:r>
      <w:r w:rsidRPr="003D1238">
        <w:rPr>
          <w:rFonts w:ascii="Times New Roman" w:hAnsi="Times New Roman" w:cs="Times New Roman"/>
          <w:bCs/>
          <w:sz w:val="28"/>
          <w:szCs w:val="28"/>
        </w:rPr>
        <w:t xml:space="preserve"> </w:t>
      </w:r>
    </w:p>
    <w:p w:rsidR="00E441A4" w:rsidRPr="00E441A4" w:rsidRDefault="00E441A4" w:rsidP="00E441A4">
      <w:pPr>
        <w:spacing w:after="0" w:line="240" w:lineRule="auto"/>
        <w:rPr>
          <w:lang w:eastAsia="ru-RU"/>
        </w:rPr>
      </w:pPr>
    </w:p>
    <w:tbl>
      <w:tblPr>
        <w:tblStyle w:val="-11"/>
        <w:tblW w:w="10182" w:type="dxa"/>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6663"/>
        <w:gridCol w:w="1701"/>
        <w:gridCol w:w="1818"/>
      </w:tblGrid>
      <w:tr w:rsidR="003E4B3F" w:rsidRPr="0017180B" w:rsidTr="00F468B1">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6663"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F468B1">
            <w:pPr>
              <w:jc w:val="center"/>
              <w:rPr>
                <w:rFonts w:ascii="Times New Roman" w:hAnsi="Times New Roman" w:cs="Times New Roman"/>
                <w:bCs w:val="0"/>
                <w:sz w:val="20"/>
                <w:szCs w:val="20"/>
              </w:rPr>
            </w:pPr>
            <w:r w:rsidRPr="0017180B">
              <w:rPr>
                <w:rFonts w:ascii="Times New Roman" w:hAnsi="Times New Roman" w:cs="Times New Roman"/>
                <w:bCs w:val="0"/>
                <w:sz w:val="20"/>
                <w:szCs w:val="20"/>
              </w:rPr>
              <w:t>Наименование показателя</w:t>
            </w:r>
          </w:p>
        </w:tc>
        <w:tc>
          <w:tcPr>
            <w:tcW w:w="1701"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2D32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17180B">
              <w:rPr>
                <w:rFonts w:ascii="Times New Roman" w:hAnsi="Times New Roman" w:cs="Times New Roman"/>
                <w:bCs w:val="0"/>
                <w:sz w:val="20"/>
                <w:szCs w:val="20"/>
              </w:rPr>
              <w:t>Январь-</w:t>
            </w:r>
            <w:r w:rsidR="002D323C">
              <w:rPr>
                <w:rFonts w:ascii="Times New Roman" w:hAnsi="Times New Roman" w:cs="Times New Roman"/>
                <w:bCs w:val="0"/>
                <w:sz w:val="20"/>
                <w:szCs w:val="20"/>
              </w:rPr>
              <w:t>но</w:t>
            </w:r>
            <w:r w:rsidRPr="0017180B">
              <w:rPr>
                <w:rFonts w:ascii="Times New Roman" w:hAnsi="Times New Roman" w:cs="Times New Roman"/>
                <w:bCs w:val="0"/>
                <w:sz w:val="20"/>
                <w:szCs w:val="20"/>
              </w:rPr>
              <w:t>ябрь 2015</w:t>
            </w:r>
          </w:p>
        </w:tc>
        <w:tc>
          <w:tcPr>
            <w:tcW w:w="1818"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2D32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17180B">
              <w:rPr>
                <w:rFonts w:ascii="Times New Roman" w:hAnsi="Times New Roman" w:cs="Times New Roman"/>
                <w:bCs w:val="0"/>
                <w:sz w:val="20"/>
                <w:szCs w:val="20"/>
              </w:rPr>
              <w:t xml:space="preserve">В % </w:t>
            </w:r>
            <w:r w:rsidRPr="0017180B">
              <w:rPr>
                <w:rFonts w:ascii="Times New Roman" w:hAnsi="Times New Roman" w:cs="Times New Roman"/>
                <w:bCs w:val="0"/>
                <w:sz w:val="20"/>
                <w:szCs w:val="20"/>
              </w:rPr>
              <w:br/>
              <w:t>к январю-</w:t>
            </w:r>
            <w:r w:rsidR="002D323C">
              <w:rPr>
                <w:rFonts w:ascii="Times New Roman" w:hAnsi="Times New Roman" w:cs="Times New Roman"/>
                <w:bCs w:val="0"/>
                <w:sz w:val="20"/>
                <w:szCs w:val="20"/>
              </w:rPr>
              <w:t>но</w:t>
            </w:r>
            <w:r w:rsidRPr="0017180B">
              <w:rPr>
                <w:rFonts w:ascii="Times New Roman" w:hAnsi="Times New Roman" w:cs="Times New Roman"/>
                <w:bCs w:val="0"/>
                <w:sz w:val="20"/>
                <w:szCs w:val="20"/>
              </w:rPr>
              <w:t>ябрю 2014</w:t>
            </w:r>
          </w:p>
        </w:tc>
      </w:tr>
      <w:tr w:rsidR="00E441A4" w:rsidRPr="0017180B" w:rsidTr="00F468B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6663" w:type="dxa"/>
            <w:vMerge/>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F468B1">
            <w:pPr>
              <w:rPr>
                <w:rFonts w:ascii="Times New Roman" w:hAnsi="Times New Roman" w:cs="Times New Roman"/>
                <w:b w:val="0"/>
                <w:bCs w:val="0"/>
                <w:sz w:val="20"/>
                <w:szCs w:val="20"/>
              </w:rPr>
            </w:pPr>
          </w:p>
        </w:tc>
        <w:tc>
          <w:tcPr>
            <w:tcW w:w="1701" w:type="dxa"/>
            <w:vMerge/>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1866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1818" w:type="dxa"/>
            <w:vMerge/>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1866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r>
      <w:tr w:rsidR="003E4B3F" w:rsidRPr="0017180B" w:rsidTr="00F468B1">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663"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F468B1">
            <w:pPr>
              <w:rPr>
                <w:rFonts w:ascii="Times New Roman" w:hAnsi="Times New Roman" w:cs="Times New Roman"/>
                <w:b w:val="0"/>
                <w:bCs w:val="0"/>
                <w:sz w:val="20"/>
                <w:szCs w:val="20"/>
              </w:rPr>
            </w:pPr>
            <w:r w:rsidRPr="0017180B">
              <w:rPr>
                <w:rFonts w:ascii="Times New Roman" w:hAnsi="Times New Roman" w:cs="Times New Roman"/>
                <w:b w:val="0"/>
                <w:bCs w:val="0"/>
                <w:sz w:val="20"/>
                <w:szCs w:val="20"/>
              </w:rPr>
              <w:t>Оборот организаций (в действующих ценах), млрд. руб.</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2D323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6</w:t>
            </w:r>
            <w:r w:rsidR="002D323C">
              <w:rPr>
                <w:rFonts w:ascii="Times New Roman" w:hAnsi="Times New Roman" w:cs="Times New Roman"/>
                <w:bCs/>
                <w:sz w:val="20"/>
                <w:szCs w:val="20"/>
              </w:rPr>
              <w:t>786</w:t>
            </w:r>
            <w:r w:rsidRPr="0017180B">
              <w:rPr>
                <w:rFonts w:ascii="Times New Roman" w:hAnsi="Times New Roman" w:cs="Times New Roman"/>
                <w:bCs/>
                <w:sz w:val="20"/>
                <w:szCs w:val="20"/>
              </w:rPr>
              <w:t>,</w:t>
            </w:r>
            <w:r w:rsidR="002D323C">
              <w:rPr>
                <w:rFonts w:ascii="Times New Roman" w:hAnsi="Times New Roman" w:cs="Times New Roman"/>
                <w:bCs/>
                <w:sz w:val="20"/>
                <w:szCs w:val="20"/>
              </w:rPr>
              <w:t>0</w:t>
            </w:r>
          </w:p>
        </w:tc>
        <w:tc>
          <w:tcPr>
            <w:tcW w:w="1818"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A67D4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105,</w:t>
            </w:r>
            <w:r w:rsidR="00A67D4D">
              <w:rPr>
                <w:rFonts w:ascii="Times New Roman" w:hAnsi="Times New Roman" w:cs="Times New Roman"/>
                <w:bCs/>
                <w:sz w:val="20"/>
                <w:szCs w:val="20"/>
              </w:rPr>
              <w:t>8</w:t>
            </w:r>
          </w:p>
        </w:tc>
      </w:tr>
      <w:tr w:rsidR="00E441A4" w:rsidRPr="0017180B" w:rsidTr="00F468B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663"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F468B1">
            <w:pPr>
              <w:rPr>
                <w:rFonts w:ascii="Times New Roman" w:hAnsi="Times New Roman" w:cs="Times New Roman"/>
                <w:b w:val="0"/>
                <w:bCs w:val="0"/>
                <w:sz w:val="20"/>
                <w:szCs w:val="20"/>
              </w:rPr>
            </w:pPr>
            <w:r w:rsidRPr="0017180B">
              <w:rPr>
                <w:rFonts w:ascii="Times New Roman" w:hAnsi="Times New Roman" w:cs="Times New Roman"/>
                <w:b w:val="0"/>
                <w:bCs w:val="0"/>
                <w:sz w:val="20"/>
                <w:szCs w:val="20"/>
              </w:rPr>
              <w:t>Индекс промышленного производства, %</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1866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w:t>
            </w:r>
          </w:p>
        </w:tc>
        <w:tc>
          <w:tcPr>
            <w:tcW w:w="1818"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A67D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9</w:t>
            </w:r>
            <w:r w:rsidR="00A67D4D">
              <w:rPr>
                <w:rFonts w:ascii="Times New Roman" w:hAnsi="Times New Roman" w:cs="Times New Roman"/>
                <w:bCs/>
                <w:sz w:val="20"/>
                <w:szCs w:val="20"/>
              </w:rPr>
              <w:t>2</w:t>
            </w:r>
            <w:r w:rsidRPr="0017180B">
              <w:rPr>
                <w:rFonts w:ascii="Times New Roman" w:hAnsi="Times New Roman" w:cs="Times New Roman"/>
                <w:bCs/>
                <w:sz w:val="20"/>
                <w:szCs w:val="20"/>
              </w:rPr>
              <w:t>,</w:t>
            </w:r>
            <w:r w:rsidR="00A67D4D">
              <w:rPr>
                <w:rFonts w:ascii="Times New Roman" w:hAnsi="Times New Roman" w:cs="Times New Roman"/>
                <w:bCs/>
                <w:sz w:val="20"/>
                <w:szCs w:val="20"/>
              </w:rPr>
              <w:t>1</w:t>
            </w:r>
          </w:p>
        </w:tc>
      </w:tr>
      <w:tr w:rsidR="003E4B3F" w:rsidRPr="0017180B" w:rsidTr="00F468B1">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663"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F468B1">
            <w:pPr>
              <w:rPr>
                <w:rFonts w:ascii="Times New Roman" w:hAnsi="Times New Roman" w:cs="Times New Roman"/>
                <w:b w:val="0"/>
                <w:bCs w:val="0"/>
                <w:sz w:val="20"/>
                <w:szCs w:val="20"/>
              </w:rPr>
            </w:pPr>
            <w:r w:rsidRPr="0017180B">
              <w:rPr>
                <w:rFonts w:ascii="Times New Roman" w:hAnsi="Times New Roman" w:cs="Times New Roman"/>
                <w:b w:val="0"/>
                <w:bCs w:val="0"/>
                <w:sz w:val="20"/>
                <w:szCs w:val="20"/>
              </w:rPr>
              <w:t>Объем отгруженной продукции обрабатывающих производств (в действующих ценах), млрд. руб.</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A67D4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1</w:t>
            </w:r>
            <w:r w:rsidR="00A67D4D">
              <w:rPr>
                <w:rFonts w:ascii="Times New Roman" w:hAnsi="Times New Roman" w:cs="Times New Roman"/>
                <w:bCs/>
                <w:sz w:val="20"/>
                <w:szCs w:val="20"/>
              </w:rPr>
              <w:t>890</w:t>
            </w:r>
            <w:r w:rsidRPr="0017180B">
              <w:rPr>
                <w:rFonts w:ascii="Times New Roman" w:hAnsi="Times New Roman" w:cs="Times New Roman"/>
                <w:bCs/>
                <w:sz w:val="20"/>
                <w:szCs w:val="20"/>
              </w:rPr>
              <w:t>,</w:t>
            </w:r>
            <w:r w:rsidR="00A67D4D">
              <w:rPr>
                <w:rFonts w:ascii="Times New Roman" w:hAnsi="Times New Roman" w:cs="Times New Roman"/>
                <w:bCs/>
                <w:sz w:val="20"/>
                <w:szCs w:val="20"/>
              </w:rPr>
              <w:t>4</w:t>
            </w:r>
          </w:p>
        </w:tc>
        <w:tc>
          <w:tcPr>
            <w:tcW w:w="1818"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18669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105,</w:t>
            </w:r>
            <w:r w:rsidR="00A67D4D">
              <w:rPr>
                <w:rFonts w:ascii="Times New Roman" w:hAnsi="Times New Roman" w:cs="Times New Roman"/>
                <w:bCs/>
                <w:sz w:val="20"/>
                <w:szCs w:val="20"/>
              </w:rPr>
              <w:t>5</w:t>
            </w:r>
          </w:p>
        </w:tc>
      </w:tr>
      <w:tr w:rsidR="00E441A4" w:rsidRPr="0017180B" w:rsidTr="00F468B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663"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F468B1">
            <w:pPr>
              <w:rPr>
                <w:rFonts w:ascii="Times New Roman" w:hAnsi="Times New Roman" w:cs="Times New Roman"/>
                <w:b w:val="0"/>
                <w:bCs w:val="0"/>
                <w:sz w:val="20"/>
                <w:szCs w:val="20"/>
              </w:rPr>
            </w:pPr>
            <w:r w:rsidRPr="0017180B">
              <w:rPr>
                <w:rFonts w:ascii="Times New Roman" w:hAnsi="Times New Roman" w:cs="Times New Roman"/>
                <w:b w:val="0"/>
                <w:bCs w:val="0"/>
                <w:sz w:val="20"/>
                <w:szCs w:val="20"/>
              </w:rPr>
              <w:t>Оборот розничной торговли, млрд. руб.</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A67D4D" w:rsidP="001866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945,0</w:t>
            </w:r>
          </w:p>
        </w:tc>
        <w:tc>
          <w:tcPr>
            <w:tcW w:w="1818"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A67D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8</w:t>
            </w:r>
            <w:r w:rsidR="00A67D4D">
              <w:rPr>
                <w:rFonts w:ascii="Times New Roman" w:hAnsi="Times New Roman" w:cs="Times New Roman"/>
                <w:bCs/>
                <w:sz w:val="20"/>
                <w:szCs w:val="20"/>
              </w:rPr>
              <w:t>8</w:t>
            </w:r>
            <w:r w:rsidRPr="0017180B">
              <w:rPr>
                <w:rFonts w:ascii="Times New Roman" w:hAnsi="Times New Roman" w:cs="Times New Roman"/>
                <w:bCs/>
                <w:sz w:val="20"/>
                <w:szCs w:val="20"/>
              </w:rPr>
              <w:t>,</w:t>
            </w:r>
            <w:r w:rsidR="00A67D4D">
              <w:rPr>
                <w:rFonts w:ascii="Times New Roman" w:hAnsi="Times New Roman" w:cs="Times New Roman"/>
                <w:bCs/>
                <w:sz w:val="20"/>
                <w:szCs w:val="20"/>
              </w:rPr>
              <w:t>7</w:t>
            </w:r>
          </w:p>
        </w:tc>
      </w:tr>
      <w:tr w:rsidR="003E4B3F" w:rsidRPr="0017180B" w:rsidTr="00F468B1">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663"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F468B1">
            <w:pPr>
              <w:rPr>
                <w:rFonts w:ascii="Times New Roman" w:hAnsi="Times New Roman" w:cs="Times New Roman"/>
                <w:b w:val="0"/>
                <w:bCs w:val="0"/>
                <w:sz w:val="20"/>
                <w:szCs w:val="20"/>
              </w:rPr>
            </w:pPr>
            <w:r w:rsidRPr="0017180B">
              <w:rPr>
                <w:rFonts w:ascii="Times New Roman" w:hAnsi="Times New Roman" w:cs="Times New Roman"/>
                <w:b w:val="0"/>
                <w:bCs w:val="0"/>
                <w:sz w:val="20"/>
                <w:szCs w:val="20"/>
              </w:rPr>
              <w:t>Оборот оптовой торговли, млрд. руб.</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A67D4D" w:rsidP="0018669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2758,9</w:t>
            </w:r>
          </w:p>
        </w:tc>
        <w:tc>
          <w:tcPr>
            <w:tcW w:w="1818"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A67D4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8</w:t>
            </w:r>
            <w:r w:rsidR="00A67D4D">
              <w:rPr>
                <w:rFonts w:ascii="Times New Roman" w:hAnsi="Times New Roman" w:cs="Times New Roman"/>
                <w:bCs/>
                <w:sz w:val="20"/>
                <w:szCs w:val="20"/>
              </w:rPr>
              <w:t>5</w:t>
            </w:r>
            <w:r w:rsidRPr="0017180B">
              <w:rPr>
                <w:rFonts w:ascii="Times New Roman" w:hAnsi="Times New Roman" w:cs="Times New Roman"/>
                <w:bCs/>
                <w:sz w:val="20"/>
                <w:szCs w:val="20"/>
              </w:rPr>
              <w:t>,</w:t>
            </w:r>
            <w:r w:rsidR="00A67D4D">
              <w:rPr>
                <w:rFonts w:ascii="Times New Roman" w:hAnsi="Times New Roman" w:cs="Times New Roman"/>
                <w:bCs/>
                <w:sz w:val="20"/>
                <w:szCs w:val="20"/>
              </w:rPr>
              <w:t>0</w:t>
            </w:r>
          </w:p>
        </w:tc>
      </w:tr>
      <w:tr w:rsidR="00E441A4" w:rsidRPr="0017180B" w:rsidTr="00F468B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663"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F468B1">
            <w:pPr>
              <w:rPr>
                <w:rFonts w:ascii="Times New Roman" w:hAnsi="Times New Roman" w:cs="Times New Roman"/>
                <w:b w:val="0"/>
                <w:bCs w:val="0"/>
                <w:sz w:val="20"/>
                <w:szCs w:val="20"/>
              </w:rPr>
            </w:pPr>
            <w:r w:rsidRPr="0017180B">
              <w:rPr>
                <w:rFonts w:ascii="Times New Roman" w:hAnsi="Times New Roman" w:cs="Times New Roman"/>
                <w:b w:val="0"/>
                <w:bCs w:val="0"/>
                <w:sz w:val="20"/>
                <w:szCs w:val="20"/>
              </w:rPr>
              <w:t>Оборот общественного питания, млрд. руб.</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A67D4D" w:rsidP="001866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51,0</w:t>
            </w:r>
          </w:p>
        </w:tc>
        <w:tc>
          <w:tcPr>
            <w:tcW w:w="1818"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1866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95,0</w:t>
            </w:r>
          </w:p>
        </w:tc>
      </w:tr>
      <w:tr w:rsidR="003E4B3F" w:rsidRPr="0017180B" w:rsidTr="00F468B1">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663"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F468B1">
            <w:pPr>
              <w:rPr>
                <w:rFonts w:ascii="Times New Roman" w:hAnsi="Times New Roman" w:cs="Times New Roman"/>
                <w:b w:val="0"/>
                <w:bCs w:val="0"/>
                <w:sz w:val="20"/>
                <w:szCs w:val="20"/>
              </w:rPr>
            </w:pPr>
            <w:r w:rsidRPr="0017180B">
              <w:rPr>
                <w:rFonts w:ascii="Times New Roman" w:hAnsi="Times New Roman" w:cs="Times New Roman"/>
                <w:b w:val="0"/>
                <w:bCs w:val="0"/>
                <w:sz w:val="20"/>
                <w:szCs w:val="20"/>
              </w:rPr>
              <w:t>Объем платных услуг населению, млрд. руб.</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A67D4D" w:rsidP="0018669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359,5</w:t>
            </w:r>
          </w:p>
        </w:tc>
        <w:tc>
          <w:tcPr>
            <w:tcW w:w="1818"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18669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98,3</w:t>
            </w:r>
          </w:p>
        </w:tc>
      </w:tr>
      <w:tr w:rsidR="00E441A4" w:rsidRPr="0017180B" w:rsidTr="00F468B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663"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F468B1">
            <w:pPr>
              <w:rPr>
                <w:rFonts w:ascii="Times New Roman" w:hAnsi="Times New Roman" w:cs="Times New Roman"/>
                <w:b w:val="0"/>
                <w:bCs w:val="0"/>
                <w:sz w:val="20"/>
                <w:szCs w:val="20"/>
              </w:rPr>
            </w:pPr>
            <w:r w:rsidRPr="0017180B">
              <w:rPr>
                <w:rFonts w:ascii="Times New Roman" w:hAnsi="Times New Roman" w:cs="Times New Roman"/>
                <w:b w:val="0"/>
                <w:bCs w:val="0"/>
                <w:sz w:val="20"/>
                <w:szCs w:val="20"/>
              </w:rPr>
              <w:t>Объем работ по виду деятельности «строительство», млрд. руб.</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A67D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3</w:t>
            </w:r>
            <w:r w:rsidR="00A67D4D">
              <w:rPr>
                <w:rFonts w:ascii="Times New Roman" w:hAnsi="Times New Roman" w:cs="Times New Roman"/>
                <w:bCs/>
                <w:sz w:val="20"/>
                <w:szCs w:val="20"/>
              </w:rPr>
              <w:t>41</w:t>
            </w:r>
            <w:r w:rsidRPr="0017180B">
              <w:rPr>
                <w:rFonts w:ascii="Times New Roman" w:hAnsi="Times New Roman" w:cs="Times New Roman"/>
                <w:bCs/>
                <w:sz w:val="20"/>
                <w:szCs w:val="20"/>
              </w:rPr>
              <w:t>,</w:t>
            </w:r>
            <w:r w:rsidR="00A67D4D">
              <w:rPr>
                <w:rFonts w:ascii="Times New Roman" w:hAnsi="Times New Roman" w:cs="Times New Roman"/>
                <w:bCs/>
                <w:sz w:val="20"/>
                <w:szCs w:val="20"/>
              </w:rPr>
              <w:t>4</w:t>
            </w:r>
          </w:p>
        </w:tc>
        <w:tc>
          <w:tcPr>
            <w:tcW w:w="1818"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A67D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91,</w:t>
            </w:r>
            <w:r w:rsidR="00A67D4D">
              <w:rPr>
                <w:rFonts w:ascii="Times New Roman" w:hAnsi="Times New Roman" w:cs="Times New Roman"/>
                <w:bCs/>
                <w:sz w:val="20"/>
                <w:szCs w:val="20"/>
              </w:rPr>
              <w:t>3</w:t>
            </w:r>
          </w:p>
        </w:tc>
      </w:tr>
      <w:tr w:rsidR="003E4B3F" w:rsidRPr="0017180B" w:rsidTr="00F468B1">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663"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F468B1">
            <w:pPr>
              <w:rPr>
                <w:rFonts w:ascii="Times New Roman" w:hAnsi="Times New Roman" w:cs="Times New Roman"/>
                <w:b w:val="0"/>
                <w:bCs w:val="0"/>
                <w:sz w:val="20"/>
                <w:szCs w:val="20"/>
              </w:rPr>
            </w:pPr>
            <w:r w:rsidRPr="0017180B">
              <w:rPr>
                <w:rFonts w:ascii="Times New Roman" w:hAnsi="Times New Roman" w:cs="Times New Roman"/>
                <w:b w:val="0"/>
                <w:bCs w:val="0"/>
                <w:sz w:val="20"/>
                <w:szCs w:val="20"/>
              </w:rPr>
              <w:t>Ввод в действие жилых домов, тыс.кв.м.</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A67D4D" w:rsidP="0018669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2383,0</w:t>
            </w:r>
          </w:p>
        </w:tc>
        <w:tc>
          <w:tcPr>
            <w:tcW w:w="1818"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A67D4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9</w:t>
            </w:r>
            <w:r w:rsidR="00A67D4D">
              <w:rPr>
                <w:rFonts w:ascii="Times New Roman" w:hAnsi="Times New Roman" w:cs="Times New Roman"/>
                <w:bCs/>
                <w:sz w:val="20"/>
                <w:szCs w:val="20"/>
              </w:rPr>
              <w:t>1</w:t>
            </w:r>
            <w:r w:rsidRPr="0017180B">
              <w:rPr>
                <w:rFonts w:ascii="Times New Roman" w:hAnsi="Times New Roman" w:cs="Times New Roman"/>
                <w:bCs/>
                <w:sz w:val="20"/>
                <w:szCs w:val="20"/>
              </w:rPr>
              <w:t>,</w:t>
            </w:r>
            <w:r w:rsidR="00A67D4D">
              <w:rPr>
                <w:rFonts w:ascii="Times New Roman" w:hAnsi="Times New Roman" w:cs="Times New Roman"/>
                <w:bCs/>
                <w:sz w:val="20"/>
                <w:szCs w:val="20"/>
              </w:rPr>
              <w:t>1</w:t>
            </w:r>
          </w:p>
        </w:tc>
      </w:tr>
      <w:tr w:rsidR="00E441A4" w:rsidRPr="0017180B" w:rsidTr="00F468B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663"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F468B1">
            <w:pPr>
              <w:rPr>
                <w:rFonts w:ascii="Times New Roman" w:hAnsi="Times New Roman" w:cs="Times New Roman"/>
                <w:b w:val="0"/>
                <w:bCs w:val="0"/>
                <w:sz w:val="20"/>
                <w:szCs w:val="20"/>
              </w:rPr>
            </w:pPr>
            <w:r w:rsidRPr="0017180B">
              <w:rPr>
                <w:rFonts w:ascii="Times New Roman" w:hAnsi="Times New Roman" w:cs="Times New Roman"/>
                <w:b w:val="0"/>
                <w:bCs w:val="0"/>
                <w:sz w:val="20"/>
                <w:szCs w:val="20"/>
              </w:rPr>
              <w:t>Объем услуг организаций транспорта,</w:t>
            </w:r>
            <w:r>
              <w:rPr>
                <w:rFonts w:ascii="Times New Roman" w:hAnsi="Times New Roman" w:cs="Times New Roman"/>
                <w:b w:val="0"/>
                <w:bCs w:val="0"/>
                <w:sz w:val="20"/>
                <w:szCs w:val="20"/>
              </w:rPr>
              <w:t xml:space="preserve"> </w:t>
            </w:r>
            <w:r w:rsidRPr="0017180B">
              <w:rPr>
                <w:rFonts w:ascii="Times New Roman" w:hAnsi="Times New Roman" w:cs="Times New Roman"/>
                <w:b w:val="0"/>
                <w:bCs w:val="0"/>
                <w:sz w:val="20"/>
                <w:szCs w:val="20"/>
              </w:rPr>
              <w:t>млрд. руб.</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A67D4D" w:rsidP="001866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519,5</w:t>
            </w:r>
          </w:p>
        </w:tc>
        <w:tc>
          <w:tcPr>
            <w:tcW w:w="1818"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A67D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116,</w:t>
            </w:r>
            <w:r w:rsidR="00A67D4D">
              <w:rPr>
                <w:rFonts w:ascii="Times New Roman" w:hAnsi="Times New Roman" w:cs="Times New Roman"/>
                <w:bCs/>
                <w:sz w:val="20"/>
                <w:szCs w:val="20"/>
              </w:rPr>
              <w:t>1</w:t>
            </w:r>
          </w:p>
        </w:tc>
      </w:tr>
      <w:tr w:rsidR="003E4B3F" w:rsidRPr="0017180B" w:rsidTr="00F468B1">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663"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F468B1">
            <w:pPr>
              <w:rPr>
                <w:rFonts w:ascii="Times New Roman" w:hAnsi="Times New Roman" w:cs="Times New Roman"/>
                <w:b w:val="0"/>
                <w:bCs w:val="0"/>
                <w:sz w:val="20"/>
                <w:szCs w:val="20"/>
              </w:rPr>
            </w:pPr>
            <w:r w:rsidRPr="0017180B">
              <w:rPr>
                <w:rFonts w:ascii="Times New Roman" w:hAnsi="Times New Roman" w:cs="Times New Roman"/>
                <w:b w:val="0"/>
                <w:bCs w:val="0"/>
                <w:sz w:val="20"/>
                <w:szCs w:val="20"/>
              </w:rPr>
              <w:t>Объем услуг связи, млрд. руб.</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A67D4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1</w:t>
            </w:r>
            <w:r w:rsidR="00A67D4D">
              <w:rPr>
                <w:rFonts w:ascii="Times New Roman" w:hAnsi="Times New Roman" w:cs="Times New Roman"/>
                <w:bCs/>
                <w:sz w:val="20"/>
                <w:szCs w:val="20"/>
              </w:rPr>
              <w:t>1</w:t>
            </w:r>
            <w:r w:rsidRPr="0017180B">
              <w:rPr>
                <w:rFonts w:ascii="Times New Roman" w:hAnsi="Times New Roman" w:cs="Times New Roman"/>
                <w:bCs/>
                <w:sz w:val="20"/>
                <w:szCs w:val="20"/>
              </w:rPr>
              <w:t>2,</w:t>
            </w:r>
            <w:r w:rsidR="00A67D4D">
              <w:rPr>
                <w:rFonts w:ascii="Times New Roman" w:hAnsi="Times New Roman" w:cs="Times New Roman"/>
                <w:bCs/>
                <w:sz w:val="20"/>
                <w:szCs w:val="20"/>
              </w:rPr>
              <w:t>2</w:t>
            </w:r>
          </w:p>
        </w:tc>
        <w:tc>
          <w:tcPr>
            <w:tcW w:w="1818"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A67D4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10</w:t>
            </w:r>
            <w:r w:rsidR="00A67D4D">
              <w:rPr>
                <w:rFonts w:ascii="Times New Roman" w:hAnsi="Times New Roman" w:cs="Times New Roman"/>
                <w:bCs/>
                <w:sz w:val="20"/>
                <w:szCs w:val="20"/>
              </w:rPr>
              <w:t>3</w:t>
            </w:r>
            <w:r w:rsidRPr="0017180B">
              <w:rPr>
                <w:rFonts w:ascii="Times New Roman" w:hAnsi="Times New Roman" w:cs="Times New Roman"/>
                <w:bCs/>
                <w:sz w:val="20"/>
                <w:szCs w:val="20"/>
              </w:rPr>
              <w:t>,</w:t>
            </w:r>
            <w:r w:rsidR="00A67D4D">
              <w:rPr>
                <w:rFonts w:ascii="Times New Roman" w:hAnsi="Times New Roman" w:cs="Times New Roman"/>
                <w:bCs/>
                <w:sz w:val="20"/>
                <w:szCs w:val="20"/>
              </w:rPr>
              <w:t>5</w:t>
            </w:r>
          </w:p>
        </w:tc>
      </w:tr>
      <w:tr w:rsidR="00E441A4" w:rsidRPr="0017180B" w:rsidTr="00F468B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663"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F468B1">
            <w:pPr>
              <w:rPr>
                <w:rFonts w:ascii="Times New Roman" w:hAnsi="Times New Roman" w:cs="Times New Roman"/>
                <w:b w:val="0"/>
                <w:bCs w:val="0"/>
                <w:sz w:val="20"/>
                <w:szCs w:val="20"/>
              </w:rPr>
            </w:pPr>
            <w:r w:rsidRPr="0017180B">
              <w:rPr>
                <w:rFonts w:ascii="Times New Roman" w:hAnsi="Times New Roman" w:cs="Times New Roman"/>
                <w:b w:val="0"/>
                <w:bCs w:val="0"/>
                <w:sz w:val="20"/>
                <w:szCs w:val="20"/>
              </w:rPr>
              <w:t>Индекс потребительских цен, %</w:t>
            </w:r>
            <w:r>
              <w:rPr>
                <w:rFonts w:ascii="Times New Roman" w:hAnsi="Times New Roman" w:cs="Times New Roman"/>
                <w:b w:val="0"/>
                <w:bCs w:val="0"/>
                <w:sz w:val="20"/>
                <w:szCs w:val="20"/>
              </w:rPr>
              <w:t xml:space="preserve"> </w:t>
            </w:r>
            <w:r w:rsidRPr="0017180B">
              <w:rPr>
                <w:rFonts w:ascii="Times New Roman" w:hAnsi="Times New Roman" w:cs="Times New Roman"/>
                <w:b w:val="0"/>
                <w:bCs w:val="0"/>
                <w:sz w:val="20"/>
                <w:szCs w:val="20"/>
              </w:rPr>
              <w:t>(</w:t>
            </w:r>
            <w:r w:rsidR="00A67D4D">
              <w:rPr>
                <w:rFonts w:ascii="Times New Roman" w:hAnsi="Times New Roman" w:cs="Times New Roman"/>
                <w:b w:val="0"/>
                <w:bCs w:val="0"/>
                <w:sz w:val="20"/>
                <w:szCs w:val="20"/>
              </w:rPr>
              <w:t>но</w:t>
            </w:r>
            <w:r w:rsidRPr="0017180B">
              <w:rPr>
                <w:rFonts w:ascii="Times New Roman" w:hAnsi="Times New Roman" w:cs="Times New Roman"/>
                <w:b w:val="0"/>
                <w:bCs w:val="0"/>
                <w:sz w:val="20"/>
                <w:szCs w:val="20"/>
              </w:rPr>
              <w:t>ябрь 2015 к декабрю 2014 года/январь-</w:t>
            </w:r>
            <w:r w:rsidR="00A67D4D">
              <w:rPr>
                <w:rFonts w:ascii="Times New Roman" w:hAnsi="Times New Roman" w:cs="Times New Roman"/>
                <w:b w:val="0"/>
                <w:bCs w:val="0"/>
                <w:sz w:val="20"/>
                <w:szCs w:val="20"/>
              </w:rPr>
              <w:t>но</w:t>
            </w:r>
            <w:r w:rsidRPr="0017180B">
              <w:rPr>
                <w:rFonts w:ascii="Times New Roman" w:hAnsi="Times New Roman" w:cs="Times New Roman"/>
                <w:b w:val="0"/>
                <w:bCs w:val="0"/>
                <w:sz w:val="20"/>
                <w:szCs w:val="20"/>
              </w:rPr>
              <w:t>ябрь 2015 к январю-</w:t>
            </w:r>
            <w:r w:rsidR="00A67D4D">
              <w:rPr>
                <w:rFonts w:ascii="Times New Roman" w:hAnsi="Times New Roman" w:cs="Times New Roman"/>
                <w:b w:val="0"/>
                <w:bCs w:val="0"/>
                <w:sz w:val="20"/>
                <w:szCs w:val="20"/>
              </w:rPr>
              <w:t>но</w:t>
            </w:r>
            <w:r w:rsidRPr="0017180B">
              <w:rPr>
                <w:rFonts w:ascii="Times New Roman" w:hAnsi="Times New Roman" w:cs="Times New Roman"/>
                <w:b w:val="0"/>
                <w:bCs w:val="0"/>
                <w:sz w:val="20"/>
                <w:szCs w:val="20"/>
              </w:rPr>
              <w:t>ябрю 2014)</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A03D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11</w:t>
            </w:r>
            <w:r w:rsidR="00A03D1D">
              <w:rPr>
                <w:rFonts w:ascii="Times New Roman" w:hAnsi="Times New Roman" w:cs="Times New Roman"/>
                <w:bCs/>
                <w:sz w:val="20"/>
                <w:szCs w:val="20"/>
              </w:rPr>
              <w:t>2</w:t>
            </w:r>
            <w:r w:rsidRPr="0017180B">
              <w:rPr>
                <w:rFonts w:ascii="Times New Roman" w:hAnsi="Times New Roman" w:cs="Times New Roman"/>
                <w:bCs/>
                <w:sz w:val="20"/>
                <w:szCs w:val="20"/>
              </w:rPr>
              <w:t>,</w:t>
            </w:r>
            <w:r w:rsidR="00A03D1D">
              <w:rPr>
                <w:rFonts w:ascii="Times New Roman" w:hAnsi="Times New Roman" w:cs="Times New Roman"/>
                <w:bCs/>
                <w:sz w:val="20"/>
                <w:szCs w:val="20"/>
              </w:rPr>
              <w:t>1</w:t>
            </w:r>
          </w:p>
        </w:tc>
        <w:tc>
          <w:tcPr>
            <w:tcW w:w="1818"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A03D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11</w:t>
            </w:r>
            <w:r w:rsidR="00A03D1D">
              <w:rPr>
                <w:rFonts w:ascii="Times New Roman" w:hAnsi="Times New Roman" w:cs="Times New Roman"/>
                <w:bCs/>
                <w:sz w:val="20"/>
                <w:szCs w:val="20"/>
              </w:rPr>
              <w:t>7</w:t>
            </w:r>
            <w:r w:rsidRPr="0017180B">
              <w:rPr>
                <w:rFonts w:ascii="Times New Roman" w:hAnsi="Times New Roman" w:cs="Times New Roman"/>
                <w:bCs/>
                <w:sz w:val="20"/>
                <w:szCs w:val="20"/>
              </w:rPr>
              <w:t>,</w:t>
            </w:r>
            <w:r w:rsidR="00A03D1D">
              <w:rPr>
                <w:rFonts w:ascii="Times New Roman" w:hAnsi="Times New Roman" w:cs="Times New Roman"/>
                <w:bCs/>
                <w:sz w:val="20"/>
                <w:szCs w:val="20"/>
              </w:rPr>
              <w:t>8</w:t>
            </w:r>
          </w:p>
        </w:tc>
      </w:tr>
      <w:tr w:rsidR="003E4B3F" w:rsidRPr="0017180B" w:rsidTr="00F468B1">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663"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F468B1">
            <w:pPr>
              <w:rPr>
                <w:rFonts w:ascii="Times New Roman" w:hAnsi="Times New Roman" w:cs="Times New Roman"/>
                <w:b w:val="0"/>
                <w:bCs w:val="0"/>
                <w:sz w:val="20"/>
                <w:szCs w:val="20"/>
              </w:rPr>
            </w:pPr>
            <w:r w:rsidRPr="0017180B">
              <w:rPr>
                <w:rFonts w:ascii="Times New Roman" w:hAnsi="Times New Roman" w:cs="Times New Roman"/>
                <w:b w:val="0"/>
                <w:bCs w:val="0"/>
                <w:sz w:val="20"/>
                <w:szCs w:val="20"/>
              </w:rPr>
              <w:t>Среднедушевые денежные доходы населения, руб. (январь-</w:t>
            </w:r>
            <w:r w:rsidR="00A03D1D">
              <w:rPr>
                <w:rFonts w:ascii="Times New Roman" w:hAnsi="Times New Roman" w:cs="Times New Roman"/>
                <w:b w:val="0"/>
                <w:bCs w:val="0"/>
                <w:sz w:val="20"/>
                <w:szCs w:val="20"/>
              </w:rPr>
              <w:t>ок</w:t>
            </w:r>
            <w:r w:rsidRPr="0017180B">
              <w:rPr>
                <w:rFonts w:ascii="Times New Roman" w:hAnsi="Times New Roman" w:cs="Times New Roman"/>
                <w:b w:val="0"/>
                <w:bCs w:val="0"/>
                <w:sz w:val="20"/>
                <w:szCs w:val="20"/>
              </w:rPr>
              <w:t>тябрь 2015)</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A03D1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35 </w:t>
            </w:r>
            <w:r w:rsidR="00A03D1D">
              <w:rPr>
                <w:rFonts w:ascii="Times New Roman" w:hAnsi="Times New Roman" w:cs="Times New Roman"/>
                <w:bCs/>
                <w:sz w:val="20"/>
                <w:szCs w:val="20"/>
              </w:rPr>
              <w:t>505</w:t>
            </w:r>
          </w:p>
        </w:tc>
        <w:tc>
          <w:tcPr>
            <w:tcW w:w="1818"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18669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w:t>
            </w:r>
          </w:p>
        </w:tc>
      </w:tr>
      <w:tr w:rsidR="00E441A4" w:rsidRPr="0017180B" w:rsidTr="00F468B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663"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F468B1">
            <w:pPr>
              <w:rPr>
                <w:rFonts w:ascii="Times New Roman" w:hAnsi="Times New Roman" w:cs="Times New Roman"/>
                <w:b w:val="0"/>
                <w:bCs w:val="0"/>
                <w:sz w:val="20"/>
                <w:szCs w:val="20"/>
              </w:rPr>
            </w:pPr>
            <w:r w:rsidRPr="0017180B">
              <w:rPr>
                <w:rFonts w:ascii="Times New Roman" w:hAnsi="Times New Roman" w:cs="Times New Roman"/>
                <w:b w:val="0"/>
                <w:bCs w:val="0"/>
                <w:sz w:val="20"/>
                <w:szCs w:val="20"/>
              </w:rPr>
              <w:t>Реальные денежные доходы населения, %</w:t>
            </w:r>
            <w:r w:rsidR="00F468B1">
              <w:rPr>
                <w:rFonts w:ascii="Times New Roman" w:hAnsi="Times New Roman" w:cs="Times New Roman"/>
                <w:b w:val="0"/>
                <w:bCs w:val="0"/>
                <w:sz w:val="20"/>
                <w:szCs w:val="20"/>
              </w:rPr>
              <w:t xml:space="preserve"> </w:t>
            </w:r>
            <w:r w:rsidRPr="0017180B">
              <w:rPr>
                <w:rFonts w:ascii="Times New Roman" w:hAnsi="Times New Roman" w:cs="Times New Roman"/>
                <w:b w:val="0"/>
                <w:bCs w:val="0"/>
                <w:sz w:val="20"/>
                <w:szCs w:val="20"/>
              </w:rPr>
              <w:t>(январь-</w:t>
            </w:r>
            <w:r w:rsidR="00A03D1D">
              <w:rPr>
                <w:rFonts w:ascii="Times New Roman" w:hAnsi="Times New Roman" w:cs="Times New Roman"/>
                <w:b w:val="0"/>
                <w:bCs w:val="0"/>
                <w:sz w:val="20"/>
                <w:szCs w:val="20"/>
              </w:rPr>
              <w:t>ок</w:t>
            </w:r>
            <w:r w:rsidR="00A03D1D" w:rsidRPr="0017180B">
              <w:rPr>
                <w:rFonts w:ascii="Times New Roman" w:hAnsi="Times New Roman" w:cs="Times New Roman"/>
                <w:b w:val="0"/>
                <w:bCs w:val="0"/>
                <w:sz w:val="20"/>
                <w:szCs w:val="20"/>
              </w:rPr>
              <w:t>тябрь</w:t>
            </w:r>
            <w:r w:rsidRPr="0017180B">
              <w:rPr>
                <w:rFonts w:ascii="Times New Roman" w:hAnsi="Times New Roman" w:cs="Times New Roman"/>
                <w:b w:val="0"/>
                <w:bCs w:val="0"/>
                <w:sz w:val="20"/>
                <w:szCs w:val="20"/>
              </w:rPr>
              <w:t xml:space="preserve"> 2015)</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1866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w:t>
            </w:r>
          </w:p>
        </w:tc>
        <w:tc>
          <w:tcPr>
            <w:tcW w:w="1818"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1866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94,2</w:t>
            </w:r>
          </w:p>
        </w:tc>
      </w:tr>
      <w:tr w:rsidR="003E4B3F" w:rsidRPr="0017180B" w:rsidTr="00F468B1">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663"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F468B1">
            <w:pPr>
              <w:rPr>
                <w:rFonts w:ascii="Times New Roman" w:hAnsi="Times New Roman" w:cs="Times New Roman"/>
                <w:b w:val="0"/>
                <w:bCs w:val="0"/>
                <w:sz w:val="20"/>
                <w:szCs w:val="20"/>
              </w:rPr>
            </w:pPr>
            <w:r w:rsidRPr="0017180B">
              <w:rPr>
                <w:rFonts w:ascii="Times New Roman" w:hAnsi="Times New Roman" w:cs="Times New Roman"/>
                <w:b w:val="0"/>
                <w:bCs w:val="0"/>
                <w:sz w:val="20"/>
                <w:szCs w:val="20"/>
              </w:rPr>
              <w:t>Номинальная средняя начисленная заработная плата одного работника, руб. (январь-</w:t>
            </w:r>
            <w:r w:rsidR="00A03D1D">
              <w:rPr>
                <w:rFonts w:ascii="Times New Roman" w:hAnsi="Times New Roman" w:cs="Times New Roman"/>
                <w:b w:val="0"/>
                <w:bCs w:val="0"/>
                <w:sz w:val="20"/>
                <w:szCs w:val="20"/>
              </w:rPr>
              <w:t>ок</w:t>
            </w:r>
            <w:r w:rsidR="00A03D1D" w:rsidRPr="0017180B">
              <w:rPr>
                <w:rFonts w:ascii="Times New Roman" w:hAnsi="Times New Roman" w:cs="Times New Roman"/>
                <w:b w:val="0"/>
                <w:bCs w:val="0"/>
                <w:sz w:val="20"/>
                <w:szCs w:val="20"/>
              </w:rPr>
              <w:t>тябрь</w:t>
            </w:r>
            <w:r w:rsidRPr="0017180B">
              <w:rPr>
                <w:rFonts w:ascii="Times New Roman" w:hAnsi="Times New Roman" w:cs="Times New Roman"/>
                <w:b w:val="0"/>
                <w:bCs w:val="0"/>
                <w:sz w:val="20"/>
                <w:szCs w:val="20"/>
              </w:rPr>
              <w:t xml:space="preserve"> 2015) </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A03D1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 xml:space="preserve">42 </w:t>
            </w:r>
            <w:r w:rsidR="00A03D1D">
              <w:rPr>
                <w:rFonts w:ascii="Times New Roman" w:hAnsi="Times New Roman" w:cs="Times New Roman"/>
                <w:bCs/>
                <w:sz w:val="20"/>
                <w:szCs w:val="20"/>
              </w:rPr>
              <w:t>322</w:t>
            </w:r>
          </w:p>
        </w:tc>
        <w:tc>
          <w:tcPr>
            <w:tcW w:w="1818"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A03D1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108,</w:t>
            </w:r>
            <w:r w:rsidR="00A03D1D">
              <w:rPr>
                <w:rFonts w:ascii="Times New Roman" w:hAnsi="Times New Roman" w:cs="Times New Roman"/>
                <w:bCs/>
                <w:sz w:val="20"/>
                <w:szCs w:val="20"/>
              </w:rPr>
              <w:t>4</w:t>
            </w:r>
          </w:p>
        </w:tc>
      </w:tr>
      <w:tr w:rsidR="00E441A4" w:rsidRPr="0017180B" w:rsidTr="00F468B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663"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F468B1">
            <w:pPr>
              <w:rPr>
                <w:rFonts w:ascii="Times New Roman" w:hAnsi="Times New Roman" w:cs="Times New Roman"/>
                <w:b w:val="0"/>
                <w:bCs w:val="0"/>
                <w:sz w:val="20"/>
                <w:szCs w:val="20"/>
              </w:rPr>
            </w:pPr>
            <w:r w:rsidRPr="0017180B">
              <w:rPr>
                <w:rFonts w:ascii="Times New Roman" w:hAnsi="Times New Roman" w:cs="Times New Roman"/>
                <w:b w:val="0"/>
                <w:bCs w:val="0"/>
                <w:sz w:val="20"/>
                <w:szCs w:val="20"/>
              </w:rPr>
              <w:t>Реальная средняя начисленная заработная плата одного работника, % (январь-</w:t>
            </w:r>
            <w:r w:rsidR="00A03D1D">
              <w:rPr>
                <w:rFonts w:ascii="Times New Roman" w:hAnsi="Times New Roman" w:cs="Times New Roman"/>
                <w:b w:val="0"/>
                <w:bCs w:val="0"/>
                <w:sz w:val="20"/>
                <w:szCs w:val="20"/>
              </w:rPr>
              <w:t>ок</w:t>
            </w:r>
            <w:r w:rsidR="00A03D1D" w:rsidRPr="0017180B">
              <w:rPr>
                <w:rFonts w:ascii="Times New Roman" w:hAnsi="Times New Roman" w:cs="Times New Roman"/>
                <w:b w:val="0"/>
                <w:bCs w:val="0"/>
                <w:sz w:val="20"/>
                <w:szCs w:val="20"/>
              </w:rPr>
              <w:t>тябрь</w:t>
            </w:r>
            <w:r w:rsidRPr="0017180B">
              <w:rPr>
                <w:rFonts w:ascii="Times New Roman" w:hAnsi="Times New Roman" w:cs="Times New Roman"/>
                <w:b w:val="0"/>
                <w:bCs w:val="0"/>
                <w:sz w:val="20"/>
                <w:szCs w:val="20"/>
              </w:rPr>
              <w:t xml:space="preserve"> 2015)</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1866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w:t>
            </w:r>
          </w:p>
        </w:tc>
        <w:tc>
          <w:tcPr>
            <w:tcW w:w="1818"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1866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91,9</w:t>
            </w:r>
          </w:p>
        </w:tc>
      </w:tr>
      <w:tr w:rsidR="00E441A4" w:rsidRPr="0017180B" w:rsidTr="00F468B1">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663"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F468B1">
            <w:pPr>
              <w:rPr>
                <w:rFonts w:ascii="Times New Roman" w:hAnsi="Times New Roman" w:cs="Times New Roman"/>
                <w:b w:val="0"/>
                <w:bCs w:val="0"/>
                <w:sz w:val="20"/>
                <w:szCs w:val="20"/>
              </w:rPr>
            </w:pPr>
            <w:r w:rsidRPr="0017180B">
              <w:rPr>
                <w:rFonts w:ascii="Times New Roman" w:hAnsi="Times New Roman" w:cs="Times New Roman"/>
                <w:b w:val="0"/>
                <w:bCs w:val="0"/>
                <w:sz w:val="20"/>
                <w:szCs w:val="20"/>
              </w:rPr>
              <w:t xml:space="preserve">Задолженность по налоговым платежам </w:t>
            </w:r>
            <w:r w:rsidRPr="0017180B">
              <w:rPr>
                <w:rFonts w:ascii="Times New Roman" w:hAnsi="Times New Roman" w:cs="Times New Roman"/>
                <w:b w:val="0"/>
                <w:bCs w:val="0"/>
                <w:sz w:val="20"/>
                <w:szCs w:val="20"/>
              </w:rPr>
              <w:br/>
              <w:t>в бюджетную систему на 01.1</w:t>
            </w:r>
            <w:r w:rsidR="00A03D1D">
              <w:rPr>
                <w:rFonts w:ascii="Times New Roman" w:hAnsi="Times New Roman" w:cs="Times New Roman"/>
                <w:b w:val="0"/>
                <w:bCs w:val="0"/>
                <w:sz w:val="20"/>
                <w:szCs w:val="20"/>
              </w:rPr>
              <w:t>2</w:t>
            </w:r>
            <w:r w:rsidRPr="0017180B">
              <w:rPr>
                <w:rFonts w:ascii="Times New Roman" w:hAnsi="Times New Roman" w:cs="Times New Roman"/>
                <w:b w:val="0"/>
                <w:bCs w:val="0"/>
                <w:sz w:val="20"/>
                <w:szCs w:val="20"/>
              </w:rPr>
              <w:t>.2015, млрд. руб.</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A03D1D" w:rsidP="0018669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34,5</w:t>
            </w:r>
          </w:p>
        </w:tc>
        <w:tc>
          <w:tcPr>
            <w:tcW w:w="1818"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18669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w:t>
            </w:r>
          </w:p>
        </w:tc>
      </w:tr>
      <w:tr w:rsidR="003E4B3F" w:rsidRPr="0017180B" w:rsidTr="00F468B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663"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F468B1">
            <w:pPr>
              <w:rPr>
                <w:rFonts w:ascii="Times New Roman" w:hAnsi="Times New Roman" w:cs="Times New Roman"/>
                <w:b w:val="0"/>
                <w:bCs w:val="0"/>
                <w:sz w:val="20"/>
                <w:szCs w:val="20"/>
              </w:rPr>
            </w:pPr>
            <w:r w:rsidRPr="0017180B">
              <w:rPr>
                <w:rFonts w:ascii="Times New Roman" w:hAnsi="Times New Roman" w:cs="Times New Roman"/>
                <w:b w:val="0"/>
                <w:bCs w:val="0"/>
                <w:sz w:val="20"/>
                <w:szCs w:val="20"/>
              </w:rPr>
              <w:t>Число убыточных организаций, ед. (январь-</w:t>
            </w:r>
            <w:r w:rsidR="006F1175">
              <w:rPr>
                <w:rFonts w:ascii="Times New Roman" w:hAnsi="Times New Roman" w:cs="Times New Roman"/>
                <w:b w:val="0"/>
                <w:bCs w:val="0"/>
                <w:sz w:val="20"/>
                <w:szCs w:val="20"/>
              </w:rPr>
              <w:t>ок</w:t>
            </w:r>
            <w:r w:rsidRPr="0017180B">
              <w:rPr>
                <w:rFonts w:ascii="Times New Roman" w:hAnsi="Times New Roman" w:cs="Times New Roman"/>
                <w:b w:val="0"/>
                <w:bCs w:val="0"/>
                <w:sz w:val="20"/>
                <w:szCs w:val="20"/>
              </w:rPr>
              <w:t>тябрь 2015)</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6F1175" w:rsidP="001866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579</w:t>
            </w:r>
          </w:p>
        </w:tc>
        <w:tc>
          <w:tcPr>
            <w:tcW w:w="1818"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6F11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1</w:t>
            </w:r>
            <w:r w:rsidR="006F1175">
              <w:rPr>
                <w:rFonts w:ascii="Times New Roman" w:hAnsi="Times New Roman" w:cs="Times New Roman"/>
                <w:bCs/>
                <w:sz w:val="20"/>
                <w:szCs w:val="20"/>
              </w:rPr>
              <w:t>0</w:t>
            </w:r>
            <w:r w:rsidRPr="0017180B">
              <w:rPr>
                <w:rFonts w:ascii="Times New Roman" w:hAnsi="Times New Roman" w:cs="Times New Roman"/>
                <w:bCs/>
                <w:sz w:val="20"/>
                <w:szCs w:val="20"/>
              </w:rPr>
              <w:t>8,</w:t>
            </w:r>
            <w:r w:rsidR="006F1175">
              <w:rPr>
                <w:rFonts w:ascii="Times New Roman" w:hAnsi="Times New Roman" w:cs="Times New Roman"/>
                <w:bCs/>
                <w:sz w:val="20"/>
                <w:szCs w:val="20"/>
              </w:rPr>
              <w:t>4</w:t>
            </w:r>
          </w:p>
        </w:tc>
      </w:tr>
      <w:tr w:rsidR="00E441A4" w:rsidRPr="0017180B" w:rsidTr="00F468B1">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663"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F468B1">
            <w:pPr>
              <w:rPr>
                <w:rFonts w:ascii="Times New Roman" w:hAnsi="Times New Roman" w:cs="Times New Roman"/>
                <w:b w:val="0"/>
                <w:bCs w:val="0"/>
                <w:sz w:val="20"/>
                <w:szCs w:val="20"/>
              </w:rPr>
            </w:pPr>
            <w:r w:rsidRPr="0017180B">
              <w:rPr>
                <w:rFonts w:ascii="Times New Roman" w:hAnsi="Times New Roman" w:cs="Times New Roman"/>
                <w:b w:val="0"/>
                <w:bCs w:val="0"/>
                <w:sz w:val="20"/>
                <w:szCs w:val="20"/>
              </w:rPr>
              <w:t>Сальдированный финансовый результат организаций, млрд. руб. (январь-</w:t>
            </w:r>
            <w:r w:rsidR="006F1175">
              <w:rPr>
                <w:rFonts w:ascii="Times New Roman" w:hAnsi="Times New Roman" w:cs="Times New Roman"/>
                <w:b w:val="0"/>
                <w:bCs w:val="0"/>
                <w:sz w:val="20"/>
                <w:szCs w:val="20"/>
              </w:rPr>
              <w:t>ок</w:t>
            </w:r>
            <w:r w:rsidRPr="0017180B">
              <w:rPr>
                <w:rFonts w:ascii="Times New Roman" w:hAnsi="Times New Roman" w:cs="Times New Roman"/>
                <w:b w:val="0"/>
                <w:bCs w:val="0"/>
                <w:sz w:val="20"/>
                <w:szCs w:val="20"/>
              </w:rPr>
              <w:t>тябрь 2015)</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6F1175" w:rsidP="0018669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496,1</w:t>
            </w:r>
          </w:p>
        </w:tc>
        <w:tc>
          <w:tcPr>
            <w:tcW w:w="1818"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6F117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1</w:t>
            </w:r>
            <w:r w:rsidR="006F1175">
              <w:rPr>
                <w:rFonts w:ascii="Times New Roman" w:hAnsi="Times New Roman" w:cs="Times New Roman"/>
                <w:bCs/>
                <w:sz w:val="20"/>
                <w:szCs w:val="20"/>
              </w:rPr>
              <w:t>48</w:t>
            </w:r>
            <w:r w:rsidRPr="0017180B">
              <w:rPr>
                <w:rFonts w:ascii="Times New Roman" w:hAnsi="Times New Roman" w:cs="Times New Roman"/>
                <w:bCs/>
                <w:sz w:val="20"/>
                <w:szCs w:val="20"/>
              </w:rPr>
              <w:t>,</w:t>
            </w:r>
            <w:r w:rsidR="006F1175">
              <w:rPr>
                <w:rFonts w:ascii="Times New Roman" w:hAnsi="Times New Roman" w:cs="Times New Roman"/>
                <w:bCs/>
                <w:sz w:val="20"/>
                <w:szCs w:val="20"/>
              </w:rPr>
              <w:t>7</w:t>
            </w:r>
          </w:p>
        </w:tc>
      </w:tr>
      <w:tr w:rsidR="003E4B3F" w:rsidRPr="0017180B" w:rsidTr="00F468B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663"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F468B1">
            <w:pPr>
              <w:rPr>
                <w:rFonts w:ascii="Times New Roman" w:hAnsi="Times New Roman" w:cs="Times New Roman"/>
                <w:b w:val="0"/>
                <w:bCs w:val="0"/>
                <w:sz w:val="20"/>
                <w:szCs w:val="20"/>
              </w:rPr>
            </w:pPr>
            <w:r w:rsidRPr="0017180B">
              <w:rPr>
                <w:rFonts w:ascii="Times New Roman" w:hAnsi="Times New Roman" w:cs="Times New Roman"/>
                <w:b w:val="0"/>
                <w:bCs w:val="0"/>
                <w:sz w:val="20"/>
                <w:szCs w:val="20"/>
              </w:rPr>
              <w:t>Объем инвестиций в основной капитал по крупным организациям, млрд.руб (январь-</w:t>
            </w:r>
            <w:r w:rsidR="006F1175">
              <w:rPr>
                <w:rFonts w:ascii="Times New Roman" w:hAnsi="Times New Roman" w:cs="Times New Roman"/>
                <w:b w:val="0"/>
                <w:bCs w:val="0"/>
                <w:sz w:val="20"/>
                <w:szCs w:val="20"/>
              </w:rPr>
              <w:t>но</w:t>
            </w:r>
            <w:r w:rsidRPr="0017180B">
              <w:rPr>
                <w:rFonts w:ascii="Times New Roman" w:hAnsi="Times New Roman" w:cs="Times New Roman"/>
                <w:b w:val="0"/>
                <w:bCs w:val="0"/>
                <w:sz w:val="20"/>
                <w:szCs w:val="20"/>
              </w:rPr>
              <w:t>ябрь 2015)</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6F1175" w:rsidP="001866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240,5</w:t>
            </w:r>
          </w:p>
        </w:tc>
        <w:tc>
          <w:tcPr>
            <w:tcW w:w="1818"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6F11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8</w:t>
            </w:r>
            <w:r w:rsidR="006F1175">
              <w:rPr>
                <w:rFonts w:ascii="Times New Roman" w:hAnsi="Times New Roman" w:cs="Times New Roman"/>
                <w:bCs/>
                <w:sz w:val="20"/>
                <w:szCs w:val="20"/>
              </w:rPr>
              <w:t>9,1</w:t>
            </w:r>
          </w:p>
        </w:tc>
      </w:tr>
      <w:tr w:rsidR="00E441A4" w:rsidRPr="0017180B" w:rsidTr="00F468B1">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663"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F468B1">
            <w:pPr>
              <w:rPr>
                <w:rFonts w:ascii="Times New Roman" w:hAnsi="Times New Roman" w:cs="Times New Roman"/>
                <w:b w:val="0"/>
                <w:bCs w:val="0"/>
                <w:sz w:val="20"/>
                <w:szCs w:val="20"/>
              </w:rPr>
            </w:pPr>
            <w:r w:rsidRPr="0017180B">
              <w:rPr>
                <w:rFonts w:ascii="Times New Roman" w:hAnsi="Times New Roman" w:cs="Times New Roman"/>
                <w:b w:val="0"/>
                <w:bCs w:val="0"/>
                <w:sz w:val="20"/>
                <w:szCs w:val="20"/>
              </w:rPr>
              <w:t xml:space="preserve">Объем инвестиций в основной капитал организаций (за счет всех источников финансирования), млрд.руб. (январь-сентябрь 2015) </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18669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282,2</w:t>
            </w:r>
          </w:p>
        </w:tc>
        <w:tc>
          <w:tcPr>
            <w:tcW w:w="1818"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18669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97,2</w:t>
            </w:r>
          </w:p>
        </w:tc>
      </w:tr>
      <w:tr w:rsidR="003E4B3F" w:rsidRPr="0017180B" w:rsidTr="00F468B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663"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F468B1">
            <w:pPr>
              <w:rPr>
                <w:rFonts w:ascii="Times New Roman" w:hAnsi="Times New Roman" w:cs="Times New Roman"/>
                <w:b w:val="0"/>
                <w:bCs w:val="0"/>
                <w:sz w:val="20"/>
                <w:szCs w:val="20"/>
              </w:rPr>
            </w:pPr>
            <w:r w:rsidRPr="0017180B">
              <w:rPr>
                <w:rFonts w:ascii="Times New Roman" w:hAnsi="Times New Roman" w:cs="Times New Roman"/>
                <w:b w:val="0"/>
                <w:bCs w:val="0"/>
                <w:sz w:val="20"/>
                <w:szCs w:val="20"/>
              </w:rPr>
              <w:t>Внешнеторговый оборот, млрд. долл. США  (январь-сентябрь 2015)</w:t>
            </w:r>
          </w:p>
          <w:p w:rsidR="0017180B" w:rsidRPr="0017180B" w:rsidRDefault="0017180B" w:rsidP="00F468B1">
            <w:pPr>
              <w:rPr>
                <w:rFonts w:ascii="Times New Roman" w:hAnsi="Times New Roman" w:cs="Times New Roman"/>
                <w:b w:val="0"/>
                <w:bCs w:val="0"/>
                <w:sz w:val="20"/>
                <w:szCs w:val="20"/>
              </w:rPr>
            </w:pPr>
            <w:r w:rsidRPr="0017180B">
              <w:rPr>
                <w:rFonts w:ascii="Times New Roman" w:hAnsi="Times New Roman" w:cs="Times New Roman"/>
                <w:b w:val="0"/>
                <w:bCs w:val="0"/>
                <w:sz w:val="20"/>
                <w:szCs w:val="20"/>
              </w:rPr>
              <w:t>в том числе:</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1866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24,3</w:t>
            </w:r>
          </w:p>
        </w:tc>
        <w:tc>
          <w:tcPr>
            <w:tcW w:w="1818"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1866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65,2</w:t>
            </w:r>
          </w:p>
        </w:tc>
      </w:tr>
      <w:tr w:rsidR="00E441A4" w:rsidRPr="0017180B" w:rsidTr="00F468B1">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663"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F468B1">
            <w:pPr>
              <w:rPr>
                <w:rFonts w:ascii="Times New Roman" w:hAnsi="Times New Roman" w:cs="Times New Roman"/>
                <w:b w:val="0"/>
                <w:bCs w:val="0"/>
                <w:sz w:val="20"/>
                <w:szCs w:val="20"/>
              </w:rPr>
            </w:pPr>
            <w:r w:rsidRPr="0017180B">
              <w:rPr>
                <w:rFonts w:ascii="Times New Roman" w:hAnsi="Times New Roman" w:cs="Times New Roman"/>
                <w:b w:val="0"/>
                <w:bCs w:val="0"/>
                <w:sz w:val="20"/>
                <w:szCs w:val="20"/>
              </w:rPr>
              <w:t>экспорт млрд. долл. США</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18669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10,0</w:t>
            </w:r>
          </w:p>
        </w:tc>
        <w:tc>
          <w:tcPr>
            <w:tcW w:w="1818"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18669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67,4</w:t>
            </w:r>
          </w:p>
        </w:tc>
      </w:tr>
      <w:tr w:rsidR="003E4B3F" w:rsidRPr="0017180B" w:rsidTr="00F468B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663"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F468B1">
            <w:pPr>
              <w:rPr>
                <w:rFonts w:ascii="Times New Roman" w:hAnsi="Times New Roman" w:cs="Times New Roman"/>
                <w:b w:val="0"/>
                <w:bCs w:val="0"/>
                <w:sz w:val="20"/>
                <w:szCs w:val="20"/>
              </w:rPr>
            </w:pPr>
            <w:r w:rsidRPr="0017180B">
              <w:rPr>
                <w:rFonts w:ascii="Times New Roman" w:hAnsi="Times New Roman" w:cs="Times New Roman"/>
                <w:b w:val="0"/>
                <w:bCs w:val="0"/>
                <w:sz w:val="20"/>
                <w:szCs w:val="20"/>
              </w:rPr>
              <w:t>импорт  млрд. долл. США</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1866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14,3</w:t>
            </w:r>
          </w:p>
        </w:tc>
        <w:tc>
          <w:tcPr>
            <w:tcW w:w="1818" w:type="dxa"/>
            <w:tcBorders>
              <w:top w:val="none" w:sz="0" w:space="0" w:color="auto"/>
              <w:left w:val="none" w:sz="0" w:space="0" w:color="auto"/>
              <w:bottom w:val="none" w:sz="0" w:space="0" w:color="auto"/>
              <w:right w:val="none" w:sz="0" w:space="0" w:color="auto"/>
            </w:tcBorders>
            <w:shd w:val="clear" w:color="auto" w:fill="auto"/>
            <w:vAlign w:val="center"/>
          </w:tcPr>
          <w:p w:rsidR="0017180B" w:rsidRPr="0017180B" w:rsidRDefault="0017180B" w:rsidP="001866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7180B">
              <w:rPr>
                <w:rFonts w:ascii="Times New Roman" w:hAnsi="Times New Roman" w:cs="Times New Roman"/>
                <w:bCs/>
                <w:sz w:val="20"/>
                <w:szCs w:val="20"/>
              </w:rPr>
              <w:t>63,8</w:t>
            </w:r>
          </w:p>
        </w:tc>
      </w:tr>
    </w:tbl>
    <w:p w:rsidR="0017180B" w:rsidRDefault="0017180B" w:rsidP="00A1366A">
      <w:pPr>
        <w:spacing w:after="0" w:line="240" w:lineRule="auto"/>
        <w:ind w:firstLine="709"/>
        <w:jc w:val="both"/>
        <w:rPr>
          <w:rFonts w:ascii="Times New Roman" w:hAnsi="Times New Roman" w:cs="Times New Roman"/>
          <w:sz w:val="28"/>
          <w:szCs w:val="28"/>
        </w:rPr>
      </w:pPr>
    </w:p>
    <w:p w:rsidR="00B86672" w:rsidRDefault="006B76E1" w:rsidP="00B86672">
      <w:pPr>
        <w:tabs>
          <w:tab w:val="left" w:pos="1254"/>
        </w:tabs>
        <w:spacing w:after="0" w:line="240" w:lineRule="auto"/>
        <w:ind w:firstLine="709"/>
        <w:jc w:val="both"/>
        <w:outlineLvl w:val="1"/>
        <w:rPr>
          <w:rFonts w:ascii="Times New Roman" w:hAnsi="Times New Roman" w:cs="Times New Roman"/>
          <w:bCs/>
          <w:sz w:val="28"/>
          <w:szCs w:val="28"/>
        </w:rPr>
      </w:pPr>
      <w:r w:rsidRPr="00372468">
        <w:rPr>
          <w:rFonts w:ascii="Verdana" w:hAnsi="Verdana"/>
          <w:i/>
          <w:noProof/>
          <w:color w:val="365F91" w:themeColor="accent1" w:themeShade="BF"/>
          <w:sz w:val="18"/>
          <w:szCs w:val="18"/>
          <w:u w:val="single"/>
          <w:lang w:eastAsia="ru-RU"/>
        </w:rPr>
        <w:lastRenderedPageBreak/>
        <w:drawing>
          <wp:anchor distT="0" distB="0" distL="114300" distR="114300" simplePos="0" relativeHeight="251654656" behindDoc="0" locked="0" layoutInCell="1" allowOverlap="1" wp14:anchorId="253695E6" wp14:editId="3A216103">
            <wp:simplePos x="0" y="0"/>
            <wp:positionH relativeFrom="column">
              <wp:posOffset>3745865</wp:posOffset>
            </wp:positionH>
            <wp:positionV relativeFrom="paragraph">
              <wp:posOffset>41910</wp:posOffset>
            </wp:positionV>
            <wp:extent cx="2736850" cy="2133600"/>
            <wp:effectExtent l="0" t="0" r="0" b="0"/>
            <wp:wrapSquare wrapText="bothSides"/>
            <wp:docPr id="36"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B86672" w:rsidRPr="00F468B1">
        <w:rPr>
          <w:rFonts w:ascii="Times New Roman" w:hAnsi="Times New Roman" w:cs="Times New Roman"/>
          <w:b/>
          <w:bCs/>
          <w:sz w:val="28"/>
          <w:szCs w:val="28"/>
        </w:rPr>
        <w:t>Индекс промышленного производства</w:t>
      </w:r>
      <w:r w:rsidR="00B86672" w:rsidRPr="00B86672">
        <w:rPr>
          <w:rFonts w:ascii="Times New Roman" w:hAnsi="Times New Roman" w:cs="Times New Roman"/>
          <w:bCs/>
          <w:sz w:val="28"/>
          <w:szCs w:val="28"/>
        </w:rPr>
        <w:t xml:space="preserve"> (ИПП) в январе-</w:t>
      </w:r>
      <w:r w:rsidR="00B86672">
        <w:rPr>
          <w:rFonts w:ascii="Times New Roman" w:hAnsi="Times New Roman" w:cs="Times New Roman"/>
          <w:bCs/>
          <w:sz w:val="28"/>
          <w:szCs w:val="28"/>
        </w:rPr>
        <w:t>но</w:t>
      </w:r>
      <w:r w:rsidR="00B86672" w:rsidRPr="00B86672">
        <w:rPr>
          <w:rFonts w:ascii="Times New Roman" w:hAnsi="Times New Roman" w:cs="Times New Roman"/>
          <w:bCs/>
          <w:sz w:val="28"/>
          <w:szCs w:val="28"/>
        </w:rPr>
        <w:t>ябре 2015 года составил 9</w:t>
      </w:r>
      <w:r w:rsidR="00B86672">
        <w:rPr>
          <w:rFonts w:ascii="Times New Roman" w:hAnsi="Times New Roman" w:cs="Times New Roman"/>
          <w:bCs/>
          <w:sz w:val="28"/>
          <w:szCs w:val="28"/>
        </w:rPr>
        <w:t>2</w:t>
      </w:r>
      <w:r w:rsidR="00B86672" w:rsidRPr="00B86672">
        <w:rPr>
          <w:rFonts w:ascii="Times New Roman" w:hAnsi="Times New Roman" w:cs="Times New Roman"/>
          <w:bCs/>
          <w:sz w:val="28"/>
          <w:szCs w:val="28"/>
        </w:rPr>
        <w:t>,</w:t>
      </w:r>
      <w:r w:rsidR="00B86672">
        <w:rPr>
          <w:rFonts w:ascii="Times New Roman" w:hAnsi="Times New Roman" w:cs="Times New Roman"/>
          <w:bCs/>
          <w:sz w:val="28"/>
          <w:szCs w:val="28"/>
        </w:rPr>
        <w:t>1</w:t>
      </w:r>
      <w:r w:rsidR="00B86672" w:rsidRPr="00B86672">
        <w:rPr>
          <w:rFonts w:ascii="Times New Roman" w:hAnsi="Times New Roman" w:cs="Times New Roman"/>
          <w:bCs/>
          <w:sz w:val="28"/>
          <w:szCs w:val="28"/>
        </w:rPr>
        <w:t xml:space="preserve">% к аналогичному периоду прошлого года и </w:t>
      </w:r>
      <w:r w:rsidR="00B86672">
        <w:rPr>
          <w:rFonts w:ascii="Times New Roman" w:hAnsi="Times New Roman" w:cs="Times New Roman"/>
          <w:bCs/>
          <w:sz w:val="28"/>
          <w:szCs w:val="28"/>
        </w:rPr>
        <w:t>второй месяц</w:t>
      </w:r>
      <w:r w:rsidR="00B86672" w:rsidRPr="00B86672">
        <w:rPr>
          <w:rFonts w:ascii="Times New Roman" w:hAnsi="Times New Roman" w:cs="Times New Roman"/>
          <w:bCs/>
          <w:sz w:val="28"/>
          <w:szCs w:val="28"/>
        </w:rPr>
        <w:t xml:space="preserve"> демонстрирует улучшение динамики по сравнению с предыдущим периодами</w:t>
      </w:r>
      <w:r w:rsidR="00B86672">
        <w:rPr>
          <w:rFonts w:ascii="Times New Roman" w:hAnsi="Times New Roman" w:cs="Times New Roman"/>
          <w:bCs/>
          <w:sz w:val="28"/>
          <w:szCs w:val="28"/>
        </w:rPr>
        <w:t>.  В</w:t>
      </w:r>
      <w:r w:rsidR="00B86672" w:rsidRPr="00B86672">
        <w:rPr>
          <w:rFonts w:ascii="Times New Roman" w:hAnsi="Times New Roman" w:cs="Times New Roman"/>
          <w:bCs/>
          <w:sz w:val="28"/>
          <w:szCs w:val="28"/>
        </w:rPr>
        <w:t xml:space="preserve"> некоторых отраслях обрабатывающих производств ИПП находится в положительной области: в металлургическом производстве и производстве готовых металлических изделий - 1</w:t>
      </w:r>
      <w:r w:rsidR="00B86672">
        <w:rPr>
          <w:rFonts w:ascii="Times New Roman" w:hAnsi="Times New Roman" w:cs="Times New Roman"/>
          <w:bCs/>
          <w:sz w:val="28"/>
          <w:szCs w:val="28"/>
        </w:rPr>
        <w:t>11</w:t>
      </w:r>
      <w:r w:rsidR="00B86672" w:rsidRPr="00B86672">
        <w:rPr>
          <w:rFonts w:ascii="Times New Roman" w:hAnsi="Times New Roman" w:cs="Times New Roman"/>
          <w:bCs/>
          <w:sz w:val="28"/>
          <w:szCs w:val="28"/>
        </w:rPr>
        <w:t>,</w:t>
      </w:r>
      <w:r w:rsidR="00B86672">
        <w:rPr>
          <w:rFonts w:ascii="Times New Roman" w:hAnsi="Times New Roman" w:cs="Times New Roman"/>
          <w:bCs/>
          <w:sz w:val="28"/>
          <w:szCs w:val="28"/>
        </w:rPr>
        <w:t>1</w:t>
      </w:r>
      <w:r w:rsidR="00B86672" w:rsidRPr="00B86672">
        <w:rPr>
          <w:rFonts w:ascii="Times New Roman" w:hAnsi="Times New Roman" w:cs="Times New Roman"/>
          <w:bCs/>
          <w:sz w:val="28"/>
          <w:szCs w:val="28"/>
        </w:rPr>
        <w:t xml:space="preserve">%; в производстве </w:t>
      </w:r>
      <w:r w:rsidR="00B86672">
        <w:rPr>
          <w:rFonts w:ascii="Times New Roman" w:hAnsi="Times New Roman" w:cs="Times New Roman"/>
          <w:bCs/>
          <w:sz w:val="28"/>
          <w:szCs w:val="28"/>
        </w:rPr>
        <w:t>прочих неметаллических минеральных продуктов -</w:t>
      </w:r>
      <w:r w:rsidR="00B86672" w:rsidRPr="00B86672">
        <w:rPr>
          <w:rFonts w:ascii="Times New Roman" w:hAnsi="Times New Roman" w:cs="Times New Roman"/>
          <w:bCs/>
          <w:sz w:val="28"/>
          <w:szCs w:val="28"/>
        </w:rPr>
        <w:t xml:space="preserve"> 1</w:t>
      </w:r>
      <w:r w:rsidR="00B86672">
        <w:rPr>
          <w:rFonts w:ascii="Times New Roman" w:hAnsi="Times New Roman" w:cs="Times New Roman"/>
          <w:bCs/>
          <w:sz w:val="28"/>
          <w:szCs w:val="28"/>
        </w:rPr>
        <w:t>10</w:t>
      </w:r>
      <w:r w:rsidR="00B86672" w:rsidRPr="00B86672">
        <w:rPr>
          <w:rFonts w:ascii="Times New Roman" w:hAnsi="Times New Roman" w:cs="Times New Roman"/>
          <w:bCs/>
          <w:sz w:val="28"/>
          <w:szCs w:val="28"/>
        </w:rPr>
        <w:t>,</w:t>
      </w:r>
      <w:r w:rsidR="00B86672">
        <w:rPr>
          <w:rFonts w:ascii="Times New Roman" w:hAnsi="Times New Roman" w:cs="Times New Roman"/>
          <w:bCs/>
          <w:sz w:val="28"/>
          <w:szCs w:val="28"/>
        </w:rPr>
        <w:t>3</w:t>
      </w:r>
      <w:r w:rsidR="00B86672" w:rsidRPr="00B86672">
        <w:rPr>
          <w:rFonts w:ascii="Times New Roman" w:hAnsi="Times New Roman" w:cs="Times New Roman"/>
          <w:bCs/>
          <w:sz w:val="28"/>
          <w:szCs w:val="28"/>
        </w:rPr>
        <w:t>%;</w:t>
      </w:r>
      <w:r w:rsidR="00B86672">
        <w:rPr>
          <w:rFonts w:ascii="Times New Roman" w:hAnsi="Times New Roman" w:cs="Times New Roman"/>
          <w:bCs/>
          <w:sz w:val="28"/>
          <w:szCs w:val="28"/>
        </w:rPr>
        <w:t xml:space="preserve"> в целлюлозно-бумажном производстве, издательской и полиграфической деятельности – 100,8%;</w:t>
      </w:r>
      <w:r w:rsidR="00B86672" w:rsidRPr="00B86672">
        <w:rPr>
          <w:rFonts w:ascii="Times New Roman" w:hAnsi="Times New Roman" w:cs="Times New Roman"/>
          <w:bCs/>
          <w:sz w:val="28"/>
          <w:szCs w:val="28"/>
        </w:rPr>
        <w:t xml:space="preserve"> рост объема отгруженной промышленной продукции наблюдается по</w:t>
      </w:r>
      <w:r w:rsidR="00B86672">
        <w:rPr>
          <w:rFonts w:ascii="Times New Roman" w:hAnsi="Times New Roman" w:cs="Times New Roman"/>
          <w:bCs/>
          <w:sz w:val="28"/>
          <w:szCs w:val="28"/>
        </w:rPr>
        <w:t xml:space="preserve"> большинству видов деятельности.</w:t>
      </w:r>
      <w:r w:rsidRPr="006B76E1">
        <w:rPr>
          <w:rFonts w:ascii="Verdana" w:hAnsi="Verdana"/>
          <w:i/>
          <w:noProof/>
          <w:color w:val="365F91" w:themeColor="accent1" w:themeShade="BF"/>
          <w:sz w:val="18"/>
          <w:szCs w:val="18"/>
          <w:u w:val="single"/>
        </w:rPr>
        <w:t xml:space="preserve"> </w:t>
      </w:r>
    </w:p>
    <w:p w:rsidR="00B86672" w:rsidRPr="00B86672" w:rsidRDefault="00ED488D" w:rsidP="00B86672">
      <w:pPr>
        <w:tabs>
          <w:tab w:val="left" w:pos="1254"/>
        </w:tabs>
        <w:spacing w:after="0" w:line="240" w:lineRule="auto"/>
        <w:ind w:firstLine="709"/>
        <w:jc w:val="both"/>
        <w:outlineLvl w:val="1"/>
        <w:rPr>
          <w:rFonts w:ascii="Times New Roman" w:hAnsi="Times New Roman" w:cs="Times New Roman"/>
          <w:bCs/>
          <w:sz w:val="28"/>
          <w:szCs w:val="28"/>
        </w:rPr>
      </w:pPr>
      <w:r w:rsidRPr="00372468">
        <w:rPr>
          <w:rFonts w:ascii="Verdana" w:hAnsi="Verdana"/>
          <w:i/>
          <w:noProof/>
          <w:color w:val="365F91" w:themeColor="accent1" w:themeShade="BF"/>
          <w:sz w:val="18"/>
          <w:szCs w:val="18"/>
          <w:u w:val="single"/>
          <w:lang w:eastAsia="ru-RU"/>
        </w:rPr>
        <w:drawing>
          <wp:anchor distT="0" distB="0" distL="114300" distR="114300" simplePos="0" relativeHeight="251660800" behindDoc="0" locked="0" layoutInCell="1" allowOverlap="1" wp14:anchorId="7CD75320" wp14:editId="6B9CE7F6">
            <wp:simplePos x="0" y="0"/>
            <wp:positionH relativeFrom="column">
              <wp:posOffset>3983990</wp:posOffset>
            </wp:positionH>
            <wp:positionV relativeFrom="paragraph">
              <wp:posOffset>1541145</wp:posOffset>
            </wp:positionV>
            <wp:extent cx="2491740" cy="1704975"/>
            <wp:effectExtent l="0" t="0" r="0" b="0"/>
            <wp:wrapSquare wrapText="bothSides"/>
            <wp:docPr id="31"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101F60">
        <w:rPr>
          <w:rFonts w:ascii="Times New Roman" w:hAnsi="Times New Roman" w:cs="Times New Roman"/>
          <w:bCs/>
          <w:sz w:val="28"/>
          <w:szCs w:val="28"/>
        </w:rPr>
        <w:t>П</w:t>
      </w:r>
      <w:r w:rsidR="00B86672" w:rsidRPr="00B86672">
        <w:rPr>
          <w:rFonts w:ascii="Times New Roman" w:hAnsi="Times New Roman" w:cs="Times New Roman"/>
          <w:bCs/>
          <w:sz w:val="28"/>
          <w:szCs w:val="28"/>
        </w:rPr>
        <w:t xml:space="preserve">о данным за январь-сентябрь 2015 года </w:t>
      </w:r>
      <w:r w:rsidR="00B86672" w:rsidRPr="00F468B1">
        <w:rPr>
          <w:rFonts w:ascii="Times New Roman" w:hAnsi="Times New Roman" w:cs="Times New Roman"/>
          <w:b/>
          <w:bCs/>
          <w:sz w:val="28"/>
          <w:szCs w:val="28"/>
        </w:rPr>
        <w:t xml:space="preserve">объем инвестиций </w:t>
      </w:r>
      <w:r w:rsidR="00B86672" w:rsidRPr="00F468B1">
        <w:rPr>
          <w:rFonts w:ascii="Times New Roman" w:hAnsi="Times New Roman" w:cs="Times New Roman"/>
          <w:b/>
          <w:bCs/>
          <w:sz w:val="28"/>
          <w:szCs w:val="28"/>
        </w:rPr>
        <w:br/>
        <w:t>в основной капитал</w:t>
      </w:r>
      <w:r w:rsidR="00F468B1">
        <w:rPr>
          <w:rFonts w:ascii="Times New Roman" w:hAnsi="Times New Roman" w:cs="Times New Roman"/>
          <w:b/>
          <w:bCs/>
          <w:sz w:val="28"/>
          <w:szCs w:val="28"/>
        </w:rPr>
        <w:t xml:space="preserve"> </w:t>
      </w:r>
      <w:r w:rsidR="00F468B1" w:rsidRPr="00F468B1">
        <w:rPr>
          <w:rFonts w:ascii="Times New Roman" w:hAnsi="Times New Roman" w:cs="Times New Roman"/>
          <w:bCs/>
          <w:sz w:val="28"/>
          <w:szCs w:val="28"/>
        </w:rPr>
        <w:t>по полному кругу организаций</w:t>
      </w:r>
      <w:r w:rsidR="00B86672" w:rsidRPr="00B86672">
        <w:rPr>
          <w:rFonts w:ascii="Times New Roman" w:hAnsi="Times New Roman" w:cs="Times New Roman"/>
          <w:bCs/>
          <w:sz w:val="28"/>
          <w:szCs w:val="28"/>
        </w:rPr>
        <w:t xml:space="preserve"> составил 282,2 млрд. рублей или 97,2% к уровню аналогичного периода прошлого года, что выше, чем за первое полугодие текущего года (90,0%); доля инвестиций из бюджетов всех уровней возросла с 20% до 28% по сравнению с девятью месяцами</w:t>
      </w:r>
      <w:r w:rsidR="00885FAB">
        <w:rPr>
          <w:rFonts w:ascii="Times New Roman" w:hAnsi="Times New Roman" w:cs="Times New Roman"/>
          <w:bCs/>
          <w:sz w:val="28"/>
          <w:szCs w:val="28"/>
        </w:rPr>
        <w:t xml:space="preserve"> 2014 года. </w:t>
      </w:r>
      <w:r w:rsidR="00101F60">
        <w:rPr>
          <w:rFonts w:ascii="Times New Roman" w:hAnsi="Times New Roman" w:cs="Times New Roman"/>
          <w:bCs/>
          <w:sz w:val="28"/>
          <w:szCs w:val="28"/>
        </w:rPr>
        <w:t xml:space="preserve">Объем инвестиций в основной капитал по крупным и средним организациям за январь-ноябрь текущего года составил 89,1% к </w:t>
      </w:r>
      <w:r w:rsidR="00885FAB">
        <w:rPr>
          <w:rFonts w:ascii="Times New Roman" w:hAnsi="Times New Roman" w:cs="Times New Roman"/>
          <w:bCs/>
          <w:sz w:val="28"/>
          <w:szCs w:val="28"/>
        </w:rPr>
        <w:t>соответствующему</w:t>
      </w:r>
      <w:r w:rsidR="00101F60">
        <w:rPr>
          <w:rFonts w:ascii="Times New Roman" w:hAnsi="Times New Roman" w:cs="Times New Roman"/>
          <w:bCs/>
          <w:sz w:val="28"/>
          <w:szCs w:val="28"/>
        </w:rPr>
        <w:t xml:space="preserve"> периоду 2014 года, что на </w:t>
      </w:r>
      <w:r w:rsidR="00885FAB">
        <w:rPr>
          <w:rFonts w:ascii="Times New Roman" w:hAnsi="Times New Roman" w:cs="Times New Roman"/>
          <w:bCs/>
          <w:sz w:val="28"/>
          <w:szCs w:val="28"/>
        </w:rPr>
        <w:t>3,8 п.п. выше чем в январе-октябре.</w:t>
      </w:r>
    </w:p>
    <w:p w:rsidR="00B86672" w:rsidRPr="00F0265E" w:rsidRDefault="00885FAB" w:rsidP="00B86672">
      <w:pPr>
        <w:tabs>
          <w:tab w:val="left" w:pos="1254"/>
        </w:tabs>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Н</w:t>
      </w:r>
      <w:r w:rsidR="00B86672" w:rsidRPr="00B86672">
        <w:rPr>
          <w:rFonts w:ascii="Times New Roman" w:hAnsi="Times New Roman" w:cs="Times New Roman"/>
          <w:bCs/>
          <w:sz w:val="28"/>
          <w:szCs w:val="28"/>
        </w:rPr>
        <w:t xml:space="preserve">есмотря на снижение </w:t>
      </w:r>
      <w:r w:rsidR="00B86672" w:rsidRPr="00F468B1">
        <w:rPr>
          <w:rFonts w:ascii="Times New Roman" w:hAnsi="Times New Roman" w:cs="Times New Roman"/>
          <w:b/>
          <w:bCs/>
          <w:sz w:val="28"/>
          <w:szCs w:val="28"/>
        </w:rPr>
        <w:t>объема работ по виду деятельности «строительство»</w:t>
      </w:r>
      <w:r w:rsidR="00B86672" w:rsidRPr="00B86672">
        <w:rPr>
          <w:rFonts w:ascii="Times New Roman" w:hAnsi="Times New Roman" w:cs="Times New Roman"/>
          <w:bCs/>
          <w:sz w:val="28"/>
          <w:szCs w:val="28"/>
        </w:rPr>
        <w:t xml:space="preserve"> (91,</w:t>
      </w:r>
      <w:r>
        <w:rPr>
          <w:rFonts w:ascii="Times New Roman" w:hAnsi="Times New Roman" w:cs="Times New Roman"/>
          <w:bCs/>
          <w:sz w:val="28"/>
          <w:szCs w:val="28"/>
        </w:rPr>
        <w:t>3</w:t>
      </w:r>
      <w:r w:rsidR="00B86672" w:rsidRPr="00B86672">
        <w:rPr>
          <w:rFonts w:ascii="Times New Roman" w:hAnsi="Times New Roman" w:cs="Times New Roman"/>
          <w:bCs/>
          <w:sz w:val="28"/>
          <w:szCs w:val="28"/>
        </w:rPr>
        <w:t xml:space="preserve">% к уровню аналогичного периода прошлого года) за истекший период 2015 года введено в эксплуатацию </w:t>
      </w:r>
      <w:r>
        <w:rPr>
          <w:rFonts w:ascii="Times New Roman" w:hAnsi="Times New Roman" w:cs="Times New Roman"/>
          <w:bCs/>
          <w:sz w:val="28"/>
          <w:szCs w:val="28"/>
        </w:rPr>
        <w:t>2383,0</w:t>
      </w:r>
      <w:r w:rsidR="00B86672" w:rsidRPr="00B86672">
        <w:rPr>
          <w:rFonts w:ascii="Times New Roman" w:hAnsi="Times New Roman" w:cs="Times New Roman"/>
          <w:bCs/>
          <w:sz w:val="28"/>
          <w:szCs w:val="28"/>
        </w:rPr>
        <w:t xml:space="preserve"> тыс.кв.м. жилья, что составляет 8</w:t>
      </w:r>
      <w:r>
        <w:rPr>
          <w:rFonts w:ascii="Times New Roman" w:hAnsi="Times New Roman" w:cs="Times New Roman"/>
          <w:bCs/>
          <w:sz w:val="28"/>
          <w:szCs w:val="28"/>
        </w:rPr>
        <w:t>8</w:t>
      </w:r>
      <w:r w:rsidR="00B86672" w:rsidRPr="00B86672">
        <w:rPr>
          <w:rFonts w:ascii="Times New Roman" w:hAnsi="Times New Roman" w:cs="Times New Roman"/>
          <w:bCs/>
          <w:sz w:val="28"/>
          <w:szCs w:val="28"/>
        </w:rPr>
        <w:t xml:space="preserve">% от запланированного </w:t>
      </w:r>
      <w:r>
        <w:rPr>
          <w:rFonts w:ascii="Times New Roman" w:hAnsi="Times New Roman" w:cs="Times New Roman"/>
          <w:bCs/>
          <w:sz w:val="28"/>
          <w:szCs w:val="28"/>
        </w:rPr>
        <w:t>н</w:t>
      </w:r>
      <w:r w:rsidR="00B86672" w:rsidRPr="00B86672">
        <w:rPr>
          <w:rFonts w:ascii="Times New Roman" w:hAnsi="Times New Roman" w:cs="Times New Roman"/>
          <w:bCs/>
          <w:sz w:val="28"/>
          <w:szCs w:val="28"/>
        </w:rPr>
        <w:t>а 2015 год объема</w:t>
      </w:r>
      <w:r>
        <w:rPr>
          <w:rFonts w:ascii="Times New Roman" w:hAnsi="Times New Roman" w:cs="Times New Roman"/>
          <w:bCs/>
          <w:sz w:val="28"/>
          <w:szCs w:val="28"/>
        </w:rPr>
        <w:t>.</w:t>
      </w:r>
      <w:r w:rsidR="00676FC2" w:rsidRPr="00F0265E">
        <w:rPr>
          <w:rFonts w:ascii="Times New Roman" w:hAnsi="Times New Roman" w:cs="Times New Roman"/>
          <w:bCs/>
          <w:sz w:val="28"/>
          <w:szCs w:val="28"/>
        </w:rPr>
        <w:t xml:space="preserve"> </w:t>
      </w:r>
    </w:p>
    <w:p w:rsidR="00F0265E" w:rsidRPr="00F0265E" w:rsidRDefault="00F0265E" w:rsidP="00F0265E">
      <w:pPr>
        <w:tabs>
          <w:tab w:val="left" w:pos="1254"/>
        </w:tabs>
        <w:spacing w:after="0" w:line="240" w:lineRule="auto"/>
        <w:ind w:firstLine="709"/>
        <w:jc w:val="both"/>
        <w:outlineLvl w:val="1"/>
        <w:rPr>
          <w:rFonts w:ascii="Times New Roman" w:hAnsi="Times New Roman" w:cs="Times New Roman"/>
          <w:bCs/>
          <w:sz w:val="28"/>
          <w:szCs w:val="28"/>
        </w:rPr>
      </w:pPr>
      <w:r w:rsidRPr="00F0265E">
        <w:rPr>
          <w:rFonts w:ascii="Times New Roman" w:hAnsi="Times New Roman" w:cs="Times New Roman"/>
          <w:bCs/>
          <w:sz w:val="28"/>
          <w:szCs w:val="28"/>
        </w:rPr>
        <w:t>Общий объем услуг организаций транспорта в январе-</w:t>
      </w:r>
      <w:r>
        <w:rPr>
          <w:rFonts w:ascii="Times New Roman" w:hAnsi="Times New Roman" w:cs="Times New Roman"/>
          <w:bCs/>
          <w:sz w:val="28"/>
          <w:szCs w:val="28"/>
        </w:rPr>
        <w:t>но</w:t>
      </w:r>
      <w:r w:rsidRPr="00F0265E">
        <w:rPr>
          <w:rFonts w:ascii="Times New Roman" w:hAnsi="Times New Roman" w:cs="Times New Roman"/>
          <w:bCs/>
          <w:sz w:val="28"/>
          <w:szCs w:val="28"/>
        </w:rPr>
        <w:t xml:space="preserve">ябре 2015 года составил </w:t>
      </w:r>
      <w:r>
        <w:rPr>
          <w:rFonts w:ascii="Times New Roman" w:hAnsi="Times New Roman" w:cs="Times New Roman"/>
          <w:bCs/>
          <w:sz w:val="28"/>
          <w:szCs w:val="28"/>
        </w:rPr>
        <w:t>519,5</w:t>
      </w:r>
      <w:r w:rsidRPr="00F0265E">
        <w:rPr>
          <w:rFonts w:ascii="Times New Roman" w:hAnsi="Times New Roman" w:cs="Times New Roman"/>
          <w:bCs/>
          <w:sz w:val="28"/>
          <w:szCs w:val="28"/>
        </w:rPr>
        <w:t xml:space="preserve"> млрд. рублей и в действующих ценах увеличился на 16,</w:t>
      </w:r>
      <w:r>
        <w:rPr>
          <w:rFonts w:ascii="Times New Roman" w:hAnsi="Times New Roman" w:cs="Times New Roman"/>
          <w:bCs/>
          <w:sz w:val="28"/>
          <w:szCs w:val="28"/>
        </w:rPr>
        <w:t>1</w:t>
      </w:r>
      <w:r w:rsidRPr="00F0265E">
        <w:rPr>
          <w:rFonts w:ascii="Times New Roman" w:hAnsi="Times New Roman" w:cs="Times New Roman"/>
          <w:bCs/>
          <w:sz w:val="28"/>
          <w:szCs w:val="28"/>
        </w:rPr>
        <w:t>% по сравнению с январем-</w:t>
      </w:r>
      <w:r>
        <w:rPr>
          <w:rFonts w:ascii="Times New Roman" w:hAnsi="Times New Roman" w:cs="Times New Roman"/>
          <w:bCs/>
          <w:sz w:val="28"/>
          <w:szCs w:val="28"/>
        </w:rPr>
        <w:t>но</w:t>
      </w:r>
      <w:r w:rsidRPr="00F0265E">
        <w:rPr>
          <w:rFonts w:ascii="Times New Roman" w:hAnsi="Times New Roman" w:cs="Times New Roman"/>
          <w:bCs/>
          <w:sz w:val="28"/>
          <w:szCs w:val="28"/>
        </w:rPr>
        <w:t>ябрем 2014 года; объем услуг связи, оказанных организациями Санкт-Петербурга, - 1</w:t>
      </w:r>
      <w:r>
        <w:rPr>
          <w:rFonts w:ascii="Times New Roman" w:hAnsi="Times New Roman" w:cs="Times New Roman"/>
          <w:bCs/>
          <w:sz w:val="28"/>
          <w:szCs w:val="28"/>
        </w:rPr>
        <w:t>1</w:t>
      </w:r>
      <w:r w:rsidRPr="00F0265E">
        <w:rPr>
          <w:rFonts w:ascii="Times New Roman" w:hAnsi="Times New Roman" w:cs="Times New Roman"/>
          <w:bCs/>
          <w:sz w:val="28"/>
          <w:szCs w:val="28"/>
        </w:rPr>
        <w:t xml:space="preserve">2,6 млрд. рублей (рост на </w:t>
      </w:r>
      <w:r>
        <w:rPr>
          <w:rFonts w:ascii="Times New Roman" w:hAnsi="Times New Roman" w:cs="Times New Roman"/>
          <w:bCs/>
          <w:sz w:val="28"/>
          <w:szCs w:val="28"/>
        </w:rPr>
        <w:t>3</w:t>
      </w:r>
      <w:r w:rsidRPr="00F0265E">
        <w:rPr>
          <w:rFonts w:ascii="Times New Roman" w:hAnsi="Times New Roman" w:cs="Times New Roman"/>
          <w:bCs/>
          <w:sz w:val="28"/>
          <w:szCs w:val="28"/>
        </w:rPr>
        <w:t>,</w:t>
      </w:r>
      <w:r>
        <w:rPr>
          <w:rFonts w:ascii="Times New Roman" w:hAnsi="Times New Roman" w:cs="Times New Roman"/>
          <w:bCs/>
          <w:sz w:val="28"/>
          <w:szCs w:val="28"/>
        </w:rPr>
        <w:t>5</w:t>
      </w:r>
      <w:r w:rsidRPr="00F0265E">
        <w:rPr>
          <w:rFonts w:ascii="Times New Roman" w:hAnsi="Times New Roman" w:cs="Times New Roman"/>
          <w:bCs/>
          <w:sz w:val="28"/>
          <w:szCs w:val="28"/>
        </w:rPr>
        <w:t>%).</w:t>
      </w:r>
    </w:p>
    <w:p w:rsidR="00DC061C" w:rsidRDefault="00885FAB" w:rsidP="00DC061C">
      <w:pPr>
        <w:tabs>
          <w:tab w:val="left" w:pos="1254"/>
        </w:tabs>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П</w:t>
      </w:r>
      <w:r w:rsidR="00B86672" w:rsidRPr="00B86672">
        <w:rPr>
          <w:rFonts w:ascii="Times New Roman" w:hAnsi="Times New Roman" w:cs="Times New Roman"/>
          <w:bCs/>
          <w:sz w:val="28"/>
          <w:szCs w:val="28"/>
        </w:rPr>
        <w:t>о итогам января-</w:t>
      </w:r>
      <w:r>
        <w:rPr>
          <w:rFonts w:ascii="Times New Roman" w:hAnsi="Times New Roman" w:cs="Times New Roman"/>
          <w:bCs/>
          <w:sz w:val="28"/>
          <w:szCs w:val="28"/>
        </w:rPr>
        <w:t>ок</w:t>
      </w:r>
      <w:r w:rsidR="00B86672" w:rsidRPr="00B86672">
        <w:rPr>
          <w:rFonts w:ascii="Times New Roman" w:hAnsi="Times New Roman" w:cs="Times New Roman"/>
          <w:bCs/>
          <w:sz w:val="28"/>
          <w:szCs w:val="28"/>
        </w:rPr>
        <w:t xml:space="preserve">тября 2015 года сохраняется финансовая стабильность организаций города: </w:t>
      </w:r>
      <w:r w:rsidR="00B86672" w:rsidRPr="00F468B1">
        <w:rPr>
          <w:rFonts w:ascii="Times New Roman" w:hAnsi="Times New Roman" w:cs="Times New Roman"/>
          <w:b/>
          <w:bCs/>
          <w:sz w:val="28"/>
          <w:szCs w:val="28"/>
        </w:rPr>
        <w:t xml:space="preserve">сальдированный финансовый результат организаций  </w:t>
      </w:r>
      <w:r w:rsidR="00B86672" w:rsidRPr="00B86672">
        <w:rPr>
          <w:rFonts w:ascii="Times New Roman" w:hAnsi="Times New Roman" w:cs="Times New Roman"/>
          <w:bCs/>
          <w:sz w:val="28"/>
          <w:szCs w:val="28"/>
        </w:rPr>
        <w:t xml:space="preserve">Санкт-Петербурга увеличился </w:t>
      </w:r>
      <w:r>
        <w:rPr>
          <w:rFonts w:ascii="Times New Roman" w:hAnsi="Times New Roman" w:cs="Times New Roman"/>
          <w:bCs/>
          <w:sz w:val="28"/>
          <w:szCs w:val="28"/>
        </w:rPr>
        <w:t>в 1,5 раза</w:t>
      </w:r>
      <w:r w:rsidR="00B86672" w:rsidRPr="00B86672">
        <w:rPr>
          <w:rFonts w:ascii="Times New Roman" w:hAnsi="Times New Roman" w:cs="Times New Roman"/>
          <w:bCs/>
          <w:sz w:val="28"/>
          <w:szCs w:val="28"/>
        </w:rPr>
        <w:t xml:space="preserve"> к январю-</w:t>
      </w:r>
      <w:r>
        <w:rPr>
          <w:rFonts w:ascii="Times New Roman" w:hAnsi="Times New Roman" w:cs="Times New Roman"/>
          <w:bCs/>
          <w:sz w:val="28"/>
          <w:szCs w:val="28"/>
        </w:rPr>
        <w:t>ок</w:t>
      </w:r>
      <w:r w:rsidR="00B86672" w:rsidRPr="00B86672">
        <w:rPr>
          <w:rFonts w:ascii="Times New Roman" w:hAnsi="Times New Roman" w:cs="Times New Roman"/>
          <w:bCs/>
          <w:sz w:val="28"/>
          <w:szCs w:val="28"/>
        </w:rPr>
        <w:t xml:space="preserve">тябрю 2014 года и составил </w:t>
      </w:r>
      <w:r>
        <w:rPr>
          <w:rFonts w:ascii="Times New Roman" w:hAnsi="Times New Roman" w:cs="Times New Roman"/>
          <w:bCs/>
          <w:sz w:val="28"/>
          <w:szCs w:val="28"/>
        </w:rPr>
        <w:t>496,1</w:t>
      </w:r>
      <w:r w:rsidR="00B86672" w:rsidRPr="00B86672">
        <w:rPr>
          <w:rFonts w:ascii="Times New Roman" w:hAnsi="Times New Roman" w:cs="Times New Roman"/>
          <w:bCs/>
          <w:sz w:val="28"/>
          <w:szCs w:val="28"/>
        </w:rPr>
        <w:t xml:space="preserve"> млрд. руб.</w:t>
      </w:r>
      <w:r w:rsidR="00DC061C" w:rsidRPr="00DC061C">
        <w:rPr>
          <w:rFonts w:ascii="Times New Roman" w:hAnsi="Times New Roman" w:cs="Times New Roman"/>
          <w:bCs/>
          <w:sz w:val="28"/>
          <w:szCs w:val="28"/>
        </w:rPr>
        <w:t xml:space="preserve"> </w:t>
      </w:r>
    </w:p>
    <w:p w:rsidR="00DC061C" w:rsidRPr="00DC061C" w:rsidRDefault="00DC061C" w:rsidP="00DC061C">
      <w:pPr>
        <w:tabs>
          <w:tab w:val="left" w:pos="1254"/>
        </w:tabs>
        <w:spacing w:after="0" w:line="240" w:lineRule="auto"/>
        <w:ind w:firstLine="709"/>
        <w:jc w:val="both"/>
        <w:outlineLvl w:val="1"/>
        <w:rPr>
          <w:rFonts w:ascii="Times New Roman" w:hAnsi="Times New Roman" w:cs="Times New Roman"/>
          <w:bCs/>
          <w:sz w:val="28"/>
          <w:szCs w:val="28"/>
        </w:rPr>
      </w:pPr>
      <w:r w:rsidRPr="000B4DE7">
        <w:rPr>
          <w:rFonts w:ascii="Times New Roman" w:hAnsi="Times New Roman" w:cs="Times New Roman"/>
          <w:b/>
          <w:bCs/>
          <w:sz w:val="28"/>
          <w:szCs w:val="28"/>
        </w:rPr>
        <w:t>Оборот внешней торговли</w:t>
      </w:r>
      <w:r w:rsidRPr="00B86672">
        <w:rPr>
          <w:rFonts w:ascii="Times New Roman" w:hAnsi="Times New Roman" w:cs="Times New Roman"/>
          <w:bCs/>
          <w:sz w:val="28"/>
          <w:szCs w:val="28"/>
        </w:rPr>
        <w:t xml:space="preserve"> по итогам девяти месяцев 2015 года снизился на 34,8% </w:t>
      </w:r>
      <w:r w:rsidRPr="00DC061C">
        <w:rPr>
          <w:rFonts w:ascii="Times New Roman" w:hAnsi="Times New Roman" w:cs="Times New Roman"/>
          <w:bCs/>
          <w:sz w:val="28"/>
          <w:szCs w:val="28"/>
        </w:rPr>
        <w:t>за счет падения цен на топливно-энергетические товары на 47%, сокращения импорта продовольственных товаров на 43%, машиностроительной продукции - на 31%.</w:t>
      </w:r>
    </w:p>
    <w:p w:rsidR="00B86672" w:rsidRDefault="00CD2518" w:rsidP="00B86672">
      <w:pPr>
        <w:tabs>
          <w:tab w:val="left" w:pos="1254"/>
        </w:tabs>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 xml:space="preserve">Отрицательная динамика </w:t>
      </w:r>
      <w:r w:rsidRPr="000B4DE7">
        <w:rPr>
          <w:rFonts w:ascii="Times New Roman" w:hAnsi="Times New Roman" w:cs="Times New Roman"/>
          <w:b/>
          <w:bCs/>
          <w:sz w:val="28"/>
          <w:szCs w:val="28"/>
        </w:rPr>
        <w:t>оборота розничной торговли</w:t>
      </w:r>
      <w:r>
        <w:rPr>
          <w:rFonts w:ascii="Times New Roman" w:hAnsi="Times New Roman" w:cs="Times New Roman"/>
          <w:bCs/>
          <w:sz w:val="28"/>
          <w:szCs w:val="28"/>
        </w:rPr>
        <w:t xml:space="preserve"> (88,7% к январю-ноябрю прошлого года) связана </w:t>
      </w:r>
      <w:r w:rsidR="006B5895">
        <w:rPr>
          <w:rFonts w:ascii="Times New Roman" w:hAnsi="Times New Roman" w:cs="Times New Roman"/>
          <w:bCs/>
          <w:sz w:val="28"/>
          <w:szCs w:val="28"/>
        </w:rPr>
        <w:t>с сокращением спроса ввиду снижения</w:t>
      </w:r>
      <w:r>
        <w:rPr>
          <w:rFonts w:ascii="Times New Roman" w:hAnsi="Times New Roman" w:cs="Times New Roman"/>
          <w:bCs/>
          <w:sz w:val="28"/>
          <w:szCs w:val="28"/>
        </w:rPr>
        <w:t xml:space="preserve"> покупа</w:t>
      </w:r>
      <w:r w:rsidR="006B5895">
        <w:rPr>
          <w:rFonts w:ascii="Times New Roman" w:hAnsi="Times New Roman" w:cs="Times New Roman"/>
          <w:bCs/>
          <w:sz w:val="28"/>
          <w:szCs w:val="28"/>
        </w:rPr>
        <w:t>те</w:t>
      </w:r>
      <w:r>
        <w:rPr>
          <w:rFonts w:ascii="Times New Roman" w:hAnsi="Times New Roman" w:cs="Times New Roman"/>
          <w:bCs/>
          <w:sz w:val="28"/>
          <w:szCs w:val="28"/>
        </w:rPr>
        <w:t>льской способности</w:t>
      </w:r>
      <w:r w:rsidR="00454A9A">
        <w:rPr>
          <w:rFonts w:ascii="Times New Roman" w:hAnsi="Times New Roman" w:cs="Times New Roman"/>
          <w:bCs/>
          <w:sz w:val="28"/>
          <w:szCs w:val="28"/>
        </w:rPr>
        <w:t xml:space="preserve"> </w:t>
      </w:r>
      <w:r>
        <w:rPr>
          <w:rFonts w:ascii="Times New Roman" w:hAnsi="Times New Roman" w:cs="Times New Roman"/>
          <w:bCs/>
          <w:sz w:val="28"/>
          <w:szCs w:val="28"/>
        </w:rPr>
        <w:t>населения</w:t>
      </w:r>
      <w:r w:rsidR="006B5895">
        <w:rPr>
          <w:rFonts w:ascii="Times New Roman" w:hAnsi="Times New Roman" w:cs="Times New Roman"/>
          <w:bCs/>
          <w:sz w:val="28"/>
          <w:szCs w:val="28"/>
        </w:rPr>
        <w:t xml:space="preserve"> и ростом сберегательной активности</w:t>
      </w:r>
      <w:r w:rsidR="00D57F87">
        <w:rPr>
          <w:rFonts w:ascii="Times New Roman" w:hAnsi="Times New Roman" w:cs="Times New Roman"/>
          <w:bCs/>
          <w:sz w:val="28"/>
          <w:szCs w:val="28"/>
        </w:rPr>
        <w:t xml:space="preserve"> (в октябре текущего года </w:t>
      </w:r>
      <w:r w:rsidR="00D57F87" w:rsidRPr="00CA129F">
        <w:rPr>
          <w:rFonts w:ascii="Times New Roman" w:hAnsi="Times New Roman" w:cs="Times New Roman"/>
          <w:b/>
          <w:bCs/>
          <w:sz w:val="28"/>
          <w:szCs w:val="28"/>
        </w:rPr>
        <w:t>доля доходов населения, наплавленных на сбережения</w:t>
      </w:r>
      <w:r w:rsidR="00D57F87">
        <w:rPr>
          <w:rFonts w:ascii="Times New Roman" w:hAnsi="Times New Roman" w:cs="Times New Roman"/>
          <w:bCs/>
          <w:sz w:val="28"/>
          <w:szCs w:val="28"/>
        </w:rPr>
        <w:t>, возросла до 12,9% по сравнению с 4,5% в октябре 2014 года)</w:t>
      </w:r>
      <w:r>
        <w:rPr>
          <w:rFonts w:ascii="Times New Roman" w:hAnsi="Times New Roman" w:cs="Times New Roman"/>
          <w:bCs/>
          <w:sz w:val="28"/>
          <w:szCs w:val="28"/>
        </w:rPr>
        <w:t xml:space="preserve">. При этом </w:t>
      </w:r>
      <w:r w:rsidR="00B86672" w:rsidRPr="00B86672">
        <w:rPr>
          <w:rFonts w:ascii="Times New Roman" w:hAnsi="Times New Roman" w:cs="Times New Roman"/>
          <w:bCs/>
          <w:sz w:val="28"/>
          <w:szCs w:val="28"/>
        </w:rPr>
        <w:lastRenderedPageBreak/>
        <w:t>продолж</w:t>
      </w:r>
      <w:r>
        <w:rPr>
          <w:rFonts w:ascii="Times New Roman" w:hAnsi="Times New Roman" w:cs="Times New Roman"/>
          <w:bCs/>
          <w:sz w:val="28"/>
          <w:szCs w:val="28"/>
        </w:rPr>
        <w:t>ается</w:t>
      </w:r>
      <w:r w:rsidR="00B86672" w:rsidRPr="00B86672">
        <w:rPr>
          <w:rFonts w:ascii="Times New Roman" w:hAnsi="Times New Roman" w:cs="Times New Roman"/>
          <w:bCs/>
          <w:sz w:val="28"/>
          <w:szCs w:val="28"/>
        </w:rPr>
        <w:t xml:space="preserve"> тенденция замедления темпов снижения </w:t>
      </w:r>
      <w:r w:rsidR="006B5895">
        <w:rPr>
          <w:rFonts w:ascii="Times New Roman" w:hAnsi="Times New Roman" w:cs="Times New Roman"/>
          <w:bCs/>
          <w:sz w:val="28"/>
          <w:szCs w:val="28"/>
        </w:rPr>
        <w:t xml:space="preserve">показателей </w:t>
      </w:r>
      <w:r w:rsidR="00B86672" w:rsidRPr="00B86672">
        <w:rPr>
          <w:rFonts w:ascii="Times New Roman" w:hAnsi="Times New Roman" w:cs="Times New Roman"/>
          <w:bCs/>
          <w:sz w:val="28"/>
          <w:szCs w:val="28"/>
        </w:rPr>
        <w:t>развития потребительского рынка</w:t>
      </w:r>
      <w:r w:rsidR="006B5895">
        <w:rPr>
          <w:rFonts w:ascii="Times New Roman" w:hAnsi="Times New Roman" w:cs="Times New Roman"/>
          <w:bCs/>
          <w:sz w:val="28"/>
          <w:szCs w:val="28"/>
        </w:rPr>
        <w:t xml:space="preserve"> и уровня жизни населения</w:t>
      </w:r>
      <w:r w:rsidR="00B86672" w:rsidRPr="00B86672">
        <w:rPr>
          <w:rFonts w:ascii="Times New Roman" w:hAnsi="Times New Roman" w:cs="Times New Roman"/>
          <w:bCs/>
          <w:sz w:val="28"/>
          <w:szCs w:val="28"/>
        </w:rPr>
        <w:t>: о</w:t>
      </w:r>
      <w:r w:rsidR="006B5895">
        <w:rPr>
          <w:rFonts w:ascii="Times New Roman" w:hAnsi="Times New Roman" w:cs="Times New Roman"/>
          <w:bCs/>
          <w:sz w:val="28"/>
          <w:szCs w:val="28"/>
        </w:rPr>
        <w:t>бъем платных услуг населению,</w:t>
      </w:r>
      <w:r w:rsidR="00B86672" w:rsidRPr="00B86672">
        <w:rPr>
          <w:rFonts w:ascii="Times New Roman" w:hAnsi="Times New Roman" w:cs="Times New Roman"/>
          <w:bCs/>
          <w:sz w:val="28"/>
          <w:szCs w:val="28"/>
        </w:rPr>
        <w:t xml:space="preserve"> оборот общественного питания</w:t>
      </w:r>
      <w:r w:rsidR="006B5895">
        <w:rPr>
          <w:rFonts w:ascii="Times New Roman" w:hAnsi="Times New Roman" w:cs="Times New Roman"/>
          <w:bCs/>
          <w:sz w:val="28"/>
          <w:szCs w:val="28"/>
        </w:rPr>
        <w:t>, а также реальные денежные доходы населения</w:t>
      </w:r>
      <w:r w:rsidR="00B86672" w:rsidRPr="00B86672">
        <w:rPr>
          <w:rFonts w:ascii="Times New Roman" w:hAnsi="Times New Roman" w:cs="Times New Roman"/>
          <w:bCs/>
          <w:sz w:val="28"/>
          <w:szCs w:val="28"/>
        </w:rPr>
        <w:t xml:space="preserve"> </w:t>
      </w:r>
      <w:r w:rsidR="006B5895">
        <w:rPr>
          <w:rFonts w:ascii="Times New Roman" w:hAnsi="Times New Roman" w:cs="Times New Roman"/>
          <w:bCs/>
          <w:sz w:val="28"/>
          <w:szCs w:val="28"/>
        </w:rPr>
        <w:t>сохранили</w:t>
      </w:r>
      <w:r>
        <w:rPr>
          <w:rFonts w:ascii="Times New Roman" w:hAnsi="Times New Roman" w:cs="Times New Roman"/>
          <w:bCs/>
          <w:sz w:val="28"/>
          <w:szCs w:val="28"/>
        </w:rPr>
        <w:t xml:space="preserve">сь на уровне </w:t>
      </w:r>
      <w:r w:rsidR="006B5895">
        <w:rPr>
          <w:rFonts w:ascii="Times New Roman" w:hAnsi="Times New Roman" w:cs="Times New Roman"/>
          <w:bCs/>
          <w:sz w:val="28"/>
          <w:szCs w:val="28"/>
        </w:rPr>
        <w:t>предыдущего периода</w:t>
      </w:r>
      <w:r w:rsidR="00B86672" w:rsidRPr="00B86672">
        <w:rPr>
          <w:rFonts w:ascii="Times New Roman" w:hAnsi="Times New Roman" w:cs="Times New Roman"/>
          <w:bCs/>
          <w:sz w:val="28"/>
          <w:szCs w:val="28"/>
        </w:rPr>
        <w:t xml:space="preserve"> текущего года</w:t>
      </w:r>
      <w:r w:rsidR="006B5895">
        <w:rPr>
          <w:rFonts w:ascii="Times New Roman" w:hAnsi="Times New Roman" w:cs="Times New Roman"/>
          <w:bCs/>
          <w:sz w:val="28"/>
          <w:szCs w:val="28"/>
        </w:rPr>
        <w:t>.</w:t>
      </w:r>
    </w:p>
    <w:p w:rsidR="0019341A" w:rsidRDefault="00F15C0E" w:rsidP="0019341A">
      <w:pPr>
        <w:tabs>
          <w:tab w:val="left" w:pos="1254"/>
        </w:tabs>
        <w:spacing w:after="0" w:line="240" w:lineRule="auto"/>
        <w:ind w:firstLine="709"/>
        <w:jc w:val="both"/>
        <w:outlineLvl w:val="1"/>
        <w:rPr>
          <w:rFonts w:ascii="Times New Roman" w:hAnsi="Times New Roman" w:cs="Times New Roman"/>
          <w:bCs/>
          <w:sz w:val="28"/>
          <w:szCs w:val="28"/>
        </w:rPr>
      </w:pPr>
      <w:r w:rsidRPr="003C2DBB">
        <w:rPr>
          <w:rFonts w:ascii="Verdana" w:hAnsi="Verdana"/>
          <w:noProof/>
          <w:sz w:val="16"/>
          <w:szCs w:val="16"/>
          <w:lang w:eastAsia="ru-RU"/>
        </w:rPr>
        <w:drawing>
          <wp:anchor distT="0" distB="0" distL="114300" distR="114300" simplePos="0" relativeHeight="251659776" behindDoc="0" locked="0" layoutInCell="1" allowOverlap="1" wp14:anchorId="32E71244" wp14:editId="65B48627">
            <wp:simplePos x="0" y="0"/>
            <wp:positionH relativeFrom="column">
              <wp:posOffset>3545840</wp:posOffset>
            </wp:positionH>
            <wp:positionV relativeFrom="paragraph">
              <wp:posOffset>13335</wp:posOffset>
            </wp:positionV>
            <wp:extent cx="2938145" cy="2009775"/>
            <wp:effectExtent l="0" t="0" r="0" b="0"/>
            <wp:wrapSquare wrapText="bothSides"/>
            <wp:docPr id="3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19341A" w:rsidRPr="0019341A">
        <w:rPr>
          <w:rFonts w:ascii="Times New Roman" w:hAnsi="Times New Roman" w:cs="Times New Roman"/>
          <w:bCs/>
          <w:sz w:val="28"/>
          <w:szCs w:val="28"/>
        </w:rPr>
        <w:t xml:space="preserve">Средняя номинальная </w:t>
      </w:r>
      <w:r w:rsidR="0019341A" w:rsidRPr="0019341A">
        <w:rPr>
          <w:rFonts w:ascii="Times New Roman" w:hAnsi="Times New Roman" w:cs="Times New Roman"/>
          <w:b/>
          <w:bCs/>
          <w:sz w:val="28"/>
          <w:szCs w:val="28"/>
        </w:rPr>
        <w:t>заработная плата</w:t>
      </w:r>
      <w:r w:rsidR="0019341A" w:rsidRPr="0019341A">
        <w:rPr>
          <w:rFonts w:ascii="Times New Roman" w:hAnsi="Times New Roman" w:cs="Times New Roman"/>
          <w:bCs/>
          <w:sz w:val="28"/>
          <w:szCs w:val="28"/>
        </w:rPr>
        <w:t>, начисленная за январь-</w:t>
      </w:r>
      <w:r w:rsidR="0019341A">
        <w:rPr>
          <w:rFonts w:ascii="Times New Roman" w:hAnsi="Times New Roman" w:cs="Times New Roman"/>
          <w:bCs/>
          <w:sz w:val="28"/>
          <w:szCs w:val="28"/>
        </w:rPr>
        <w:t>ок</w:t>
      </w:r>
      <w:r w:rsidR="0019341A" w:rsidRPr="0019341A">
        <w:rPr>
          <w:rFonts w:ascii="Times New Roman" w:hAnsi="Times New Roman" w:cs="Times New Roman"/>
          <w:bCs/>
          <w:sz w:val="28"/>
          <w:szCs w:val="28"/>
        </w:rPr>
        <w:t>тябрь 2015 года, составила 42 </w:t>
      </w:r>
      <w:r w:rsidR="0019341A">
        <w:rPr>
          <w:rFonts w:ascii="Times New Roman" w:hAnsi="Times New Roman" w:cs="Times New Roman"/>
          <w:bCs/>
          <w:sz w:val="28"/>
          <w:szCs w:val="28"/>
        </w:rPr>
        <w:t>322 руб. (108,4</w:t>
      </w:r>
      <w:r w:rsidR="0019341A" w:rsidRPr="0019341A">
        <w:rPr>
          <w:rFonts w:ascii="Times New Roman" w:hAnsi="Times New Roman" w:cs="Times New Roman"/>
          <w:bCs/>
          <w:sz w:val="28"/>
          <w:szCs w:val="28"/>
        </w:rPr>
        <w:t>% к уровню января-</w:t>
      </w:r>
      <w:r w:rsidR="0019341A">
        <w:rPr>
          <w:rFonts w:ascii="Times New Roman" w:hAnsi="Times New Roman" w:cs="Times New Roman"/>
          <w:bCs/>
          <w:sz w:val="28"/>
          <w:szCs w:val="28"/>
        </w:rPr>
        <w:t>ок</w:t>
      </w:r>
      <w:r w:rsidR="0019341A" w:rsidRPr="0019341A">
        <w:rPr>
          <w:rFonts w:ascii="Times New Roman" w:hAnsi="Times New Roman" w:cs="Times New Roman"/>
          <w:bCs/>
          <w:sz w:val="28"/>
          <w:szCs w:val="28"/>
        </w:rPr>
        <w:t>тября 2014 года).</w:t>
      </w:r>
      <w:r w:rsidR="0019341A">
        <w:rPr>
          <w:rFonts w:ascii="Times New Roman" w:hAnsi="Times New Roman" w:cs="Times New Roman"/>
          <w:bCs/>
          <w:sz w:val="28"/>
          <w:szCs w:val="28"/>
        </w:rPr>
        <w:t xml:space="preserve"> </w:t>
      </w:r>
      <w:r w:rsidR="0019341A" w:rsidRPr="0019341A">
        <w:rPr>
          <w:rFonts w:ascii="Times New Roman" w:hAnsi="Times New Roman" w:cs="Times New Roman"/>
          <w:b/>
          <w:bCs/>
          <w:sz w:val="28"/>
          <w:szCs w:val="28"/>
        </w:rPr>
        <w:t>Реальная заработная плата</w:t>
      </w:r>
      <w:r w:rsidR="0019341A" w:rsidRPr="0019341A">
        <w:rPr>
          <w:rFonts w:ascii="Times New Roman" w:hAnsi="Times New Roman" w:cs="Times New Roman"/>
          <w:bCs/>
          <w:sz w:val="28"/>
          <w:szCs w:val="28"/>
        </w:rPr>
        <w:t xml:space="preserve"> за тот же период составила 91,9% к январю-</w:t>
      </w:r>
      <w:r w:rsidR="0019341A">
        <w:rPr>
          <w:rFonts w:ascii="Times New Roman" w:hAnsi="Times New Roman" w:cs="Times New Roman"/>
          <w:bCs/>
          <w:sz w:val="28"/>
          <w:szCs w:val="28"/>
        </w:rPr>
        <w:t>ок</w:t>
      </w:r>
      <w:r w:rsidR="0019341A" w:rsidRPr="0019341A">
        <w:rPr>
          <w:rFonts w:ascii="Times New Roman" w:hAnsi="Times New Roman" w:cs="Times New Roman"/>
          <w:bCs/>
          <w:sz w:val="28"/>
          <w:szCs w:val="28"/>
        </w:rPr>
        <w:t xml:space="preserve">тябрю прошлого года, </w:t>
      </w:r>
      <w:r w:rsidR="0019341A" w:rsidRPr="00C869F2">
        <w:rPr>
          <w:rFonts w:ascii="Times New Roman" w:hAnsi="Times New Roman" w:cs="Times New Roman"/>
          <w:bCs/>
          <w:sz w:val="28"/>
          <w:szCs w:val="28"/>
        </w:rPr>
        <w:t>реальные денежные доходы</w:t>
      </w:r>
      <w:r w:rsidR="0019341A" w:rsidRPr="0019341A">
        <w:rPr>
          <w:rFonts w:ascii="Times New Roman" w:hAnsi="Times New Roman" w:cs="Times New Roman"/>
          <w:bCs/>
          <w:sz w:val="28"/>
          <w:szCs w:val="28"/>
        </w:rPr>
        <w:t xml:space="preserve"> населения – 94,2%</w:t>
      </w:r>
      <w:r w:rsidR="00D13671" w:rsidRPr="00D13671">
        <w:rPr>
          <w:rFonts w:ascii="Times New Roman" w:hAnsi="Times New Roman" w:cs="Times New Roman"/>
          <w:bCs/>
          <w:sz w:val="28"/>
          <w:szCs w:val="28"/>
        </w:rPr>
        <w:t xml:space="preserve"> (что по обоим показателям соотв</w:t>
      </w:r>
      <w:r w:rsidR="00D13671">
        <w:rPr>
          <w:rFonts w:ascii="Times New Roman" w:hAnsi="Times New Roman" w:cs="Times New Roman"/>
          <w:bCs/>
          <w:sz w:val="28"/>
          <w:szCs w:val="28"/>
        </w:rPr>
        <w:t>е</w:t>
      </w:r>
      <w:r w:rsidR="00D13671" w:rsidRPr="00D13671">
        <w:rPr>
          <w:rFonts w:ascii="Times New Roman" w:hAnsi="Times New Roman" w:cs="Times New Roman"/>
          <w:bCs/>
          <w:sz w:val="28"/>
          <w:szCs w:val="28"/>
        </w:rPr>
        <w:t>т</w:t>
      </w:r>
      <w:r w:rsidR="00D13671">
        <w:rPr>
          <w:rFonts w:ascii="Times New Roman" w:hAnsi="Times New Roman" w:cs="Times New Roman"/>
          <w:bCs/>
          <w:sz w:val="28"/>
          <w:szCs w:val="28"/>
        </w:rPr>
        <w:t>ст</w:t>
      </w:r>
      <w:r w:rsidR="00D13671" w:rsidRPr="00D13671">
        <w:rPr>
          <w:rFonts w:ascii="Times New Roman" w:hAnsi="Times New Roman" w:cs="Times New Roman"/>
          <w:bCs/>
          <w:sz w:val="28"/>
          <w:szCs w:val="28"/>
        </w:rPr>
        <w:t>ву</w:t>
      </w:r>
      <w:r w:rsidR="00D13671">
        <w:rPr>
          <w:rFonts w:ascii="Times New Roman" w:hAnsi="Times New Roman" w:cs="Times New Roman"/>
          <w:bCs/>
          <w:sz w:val="28"/>
          <w:szCs w:val="28"/>
        </w:rPr>
        <w:t>е</w:t>
      </w:r>
      <w:r w:rsidR="00D13671" w:rsidRPr="00D13671">
        <w:rPr>
          <w:rFonts w:ascii="Times New Roman" w:hAnsi="Times New Roman" w:cs="Times New Roman"/>
          <w:bCs/>
          <w:sz w:val="28"/>
          <w:szCs w:val="28"/>
        </w:rPr>
        <w:t>т</w:t>
      </w:r>
      <w:r w:rsidR="00D13671">
        <w:rPr>
          <w:rFonts w:ascii="Times New Roman" w:hAnsi="Times New Roman" w:cs="Times New Roman"/>
          <w:bCs/>
          <w:sz w:val="28"/>
          <w:szCs w:val="28"/>
        </w:rPr>
        <w:t xml:space="preserve"> уровню</w:t>
      </w:r>
      <w:r w:rsidR="00D13671" w:rsidRPr="00D13671">
        <w:rPr>
          <w:rFonts w:ascii="Times New Roman" w:hAnsi="Times New Roman" w:cs="Times New Roman"/>
          <w:bCs/>
          <w:sz w:val="28"/>
          <w:szCs w:val="28"/>
        </w:rPr>
        <w:t xml:space="preserve"> января-сентября</w:t>
      </w:r>
      <w:r w:rsidR="004A1035">
        <w:rPr>
          <w:rFonts w:ascii="Times New Roman" w:hAnsi="Times New Roman" w:cs="Times New Roman"/>
          <w:bCs/>
          <w:sz w:val="28"/>
          <w:szCs w:val="28"/>
        </w:rPr>
        <w:t xml:space="preserve"> текущего года</w:t>
      </w:r>
      <w:r w:rsidR="00D13671" w:rsidRPr="00D13671">
        <w:rPr>
          <w:rFonts w:ascii="Times New Roman" w:hAnsi="Times New Roman" w:cs="Times New Roman"/>
          <w:bCs/>
          <w:sz w:val="28"/>
          <w:szCs w:val="28"/>
        </w:rPr>
        <w:t>)</w:t>
      </w:r>
      <w:r w:rsidR="0019341A" w:rsidRPr="0019341A">
        <w:rPr>
          <w:rFonts w:ascii="Times New Roman" w:hAnsi="Times New Roman" w:cs="Times New Roman"/>
          <w:bCs/>
          <w:sz w:val="28"/>
          <w:szCs w:val="28"/>
        </w:rPr>
        <w:t xml:space="preserve">, </w:t>
      </w:r>
      <w:r w:rsidR="0019341A" w:rsidRPr="00C869F2">
        <w:rPr>
          <w:rFonts w:ascii="Times New Roman" w:hAnsi="Times New Roman" w:cs="Times New Roman"/>
          <w:bCs/>
          <w:sz w:val="28"/>
          <w:szCs w:val="28"/>
        </w:rPr>
        <w:t>размер денежных доходов</w:t>
      </w:r>
      <w:r w:rsidR="0019341A" w:rsidRPr="0019341A">
        <w:rPr>
          <w:rFonts w:ascii="Times New Roman" w:hAnsi="Times New Roman" w:cs="Times New Roman"/>
          <w:bCs/>
          <w:sz w:val="28"/>
          <w:szCs w:val="28"/>
        </w:rPr>
        <w:t xml:space="preserve"> на душу населения - 35 </w:t>
      </w:r>
      <w:r w:rsidR="0019341A">
        <w:rPr>
          <w:rFonts w:ascii="Times New Roman" w:hAnsi="Times New Roman" w:cs="Times New Roman"/>
          <w:bCs/>
          <w:sz w:val="28"/>
          <w:szCs w:val="28"/>
        </w:rPr>
        <w:t>505</w:t>
      </w:r>
      <w:r w:rsidR="0019341A" w:rsidRPr="0019341A">
        <w:rPr>
          <w:rFonts w:ascii="Times New Roman" w:hAnsi="Times New Roman" w:cs="Times New Roman"/>
          <w:bCs/>
          <w:sz w:val="28"/>
          <w:szCs w:val="28"/>
        </w:rPr>
        <w:t xml:space="preserve"> руб.</w:t>
      </w:r>
    </w:p>
    <w:p w:rsidR="00C869F2" w:rsidRPr="00C869F2" w:rsidRDefault="00C869F2" w:rsidP="00C869F2">
      <w:pPr>
        <w:tabs>
          <w:tab w:val="left" w:pos="1254"/>
        </w:tabs>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По данным Петростата по состоянию на 01.12.</w:t>
      </w:r>
      <w:r w:rsidRPr="00C869F2">
        <w:rPr>
          <w:rFonts w:ascii="Times New Roman" w:hAnsi="Times New Roman" w:cs="Times New Roman"/>
          <w:bCs/>
          <w:sz w:val="28"/>
          <w:szCs w:val="28"/>
        </w:rPr>
        <w:t xml:space="preserve">2015, суммарная задолженность </w:t>
      </w:r>
      <w:r w:rsidR="00094B83">
        <w:rPr>
          <w:rFonts w:ascii="Times New Roman" w:hAnsi="Times New Roman" w:cs="Times New Roman"/>
          <w:bCs/>
          <w:sz w:val="28"/>
          <w:szCs w:val="28"/>
        </w:rPr>
        <w:t xml:space="preserve">по заработной плате </w:t>
      </w:r>
      <w:r w:rsidRPr="00C869F2">
        <w:rPr>
          <w:rFonts w:ascii="Times New Roman" w:hAnsi="Times New Roman" w:cs="Times New Roman"/>
          <w:bCs/>
          <w:sz w:val="28"/>
          <w:szCs w:val="28"/>
        </w:rPr>
        <w:t xml:space="preserve">составила 184,4 млн. рублей. Объем задолженности увеличился по сравнению с </w:t>
      </w:r>
      <w:r>
        <w:rPr>
          <w:rFonts w:ascii="Times New Roman" w:hAnsi="Times New Roman" w:cs="Times New Roman"/>
          <w:bCs/>
          <w:sz w:val="28"/>
          <w:szCs w:val="28"/>
        </w:rPr>
        <w:t>0</w:t>
      </w:r>
      <w:r w:rsidRPr="00C869F2">
        <w:rPr>
          <w:rFonts w:ascii="Times New Roman" w:hAnsi="Times New Roman" w:cs="Times New Roman"/>
          <w:bCs/>
          <w:sz w:val="28"/>
          <w:szCs w:val="28"/>
        </w:rPr>
        <w:t>1</w:t>
      </w:r>
      <w:r>
        <w:rPr>
          <w:rFonts w:ascii="Times New Roman" w:hAnsi="Times New Roman" w:cs="Times New Roman"/>
          <w:bCs/>
          <w:sz w:val="28"/>
          <w:szCs w:val="28"/>
        </w:rPr>
        <w:t>.11.</w:t>
      </w:r>
      <w:r w:rsidRPr="00C869F2">
        <w:rPr>
          <w:rFonts w:ascii="Times New Roman" w:hAnsi="Times New Roman" w:cs="Times New Roman"/>
          <w:bCs/>
          <w:sz w:val="28"/>
          <w:szCs w:val="28"/>
        </w:rPr>
        <w:t>2015 в 2,8 раза, по сравнению с 1 декабря 2014 года – в 3,2 раза.</w:t>
      </w:r>
      <w:r>
        <w:rPr>
          <w:rFonts w:ascii="Times New Roman" w:hAnsi="Times New Roman" w:cs="Times New Roman"/>
          <w:bCs/>
          <w:sz w:val="28"/>
          <w:szCs w:val="28"/>
        </w:rPr>
        <w:t xml:space="preserve"> </w:t>
      </w:r>
      <w:r w:rsidRPr="00C869F2">
        <w:rPr>
          <w:rFonts w:ascii="Times New Roman" w:hAnsi="Times New Roman" w:cs="Times New Roman"/>
          <w:bCs/>
          <w:sz w:val="28"/>
          <w:szCs w:val="28"/>
        </w:rPr>
        <w:t>Основной объем задолженности в городе образовал</w:t>
      </w:r>
      <w:bookmarkStart w:id="0" w:name="_GoBack"/>
      <w:bookmarkEnd w:id="0"/>
      <w:r w:rsidRPr="00C869F2">
        <w:rPr>
          <w:rFonts w:ascii="Times New Roman" w:hAnsi="Times New Roman" w:cs="Times New Roman"/>
          <w:bCs/>
          <w:sz w:val="28"/>
          <w:szCs w:val="28"/>
        </w:rPr>
        <w:t>ся по вид</w:t>
      </w:r>
      <w:r>
        <w:rPr>
          <w:rFonts w:ascii="Times New Roman" w:hAnsi="Times New Roman" w:cs="Times New Roman"/>
          <w:bCs/>
          <w:sz w:val="28"/>
          <w:szCs w:val="28"/>
        </w:rPr>
        <w:t>ам</w:t>
      </w:r>
      <w:r w:rsidRPr="00C869F2">
        <w:rPr>
          <w:rFonts w:ascii="Times New Roman" w:hAnsi="Times New Roman" w:cs="Times New Roman"/>
          <w:bCs/>
          <w:sz w:val="28"/>
          <w:szCs w:val="28"/>
        </w:rPr>
        <w:t xml:space="preserve"> деятельности </w:t>
      </w:r>
      <w:r>
        <w:rPr>
          <w:rFonts w:ascii="Times New Roman" w:hAnsi="Times New Roman" w:cs="Times New Roman"/>
          <w:bCs/>
          <w:sz w:val="28"/>
          <w:szCs w:val="28"/>
        </w:rPr>
        <w:t xml:space="preserve">«строительство» - 90,0 млн.руб. (49%), </w:t>
      </w:r>
      <w:r w:rsidRPr="00C869F2">
        <w:rPr>
          <w:rFonts w:ascii="Times New Roman" w:hAnsi="Times New Roman" w:cs="Times New Roman"/>
          <w:bCs/>
          <w:sz w:val="28"/>
          <w:szCs w:val="28"/>
        </w:rPr>
        <w:t>«обрабатывающие производства» – 5</w:t>
      </w:r>
      <w:r>
        <w:rPr>
          <w:rFonts w:ascii="Times New Roman" w:hAnsi="Times New Roman" w:cs="Times New Roman"/>
          <w:bCs/>
          <w:sz w:val="28"/>
          <w:szCs w:val="28"/>
        </w:rPr>
        <w:t>9</w:t>
      </w:r>
      <w:r w:rsidRPr="00C869F2">
        <w:rPr>
          <w:rFonts w:ascii="Times New Roman" w:hAnsi="Times New Roman" w:cs="Times New Roman"/>
          <w:bCs/>
          <w:sz w:val="28"/>
          <w:szCs w:val="28"/>
        </w:rPr>
        <w:t>,</w:t>
      </w:r>
      <w:r>
        <w:rPr>
          <w:rFonts w:ascii="Times New Roman" w:hAnsi="Times New Roman" w:cs="Times New Roman"/>
          <w:bCs/>
          <w:sz w:val="28"/>
          <w:szCs w:val="28"/>
        </w:rPr>
        <w:t>6</w:t>
      </w:r>
      <w:r w:rsidRPr="00C869F2">
        <w:rPr>
          <w:rFonts w:ascii="Times New Roman" w:hAnsi="Times New Roman" w:cs="Times New Roman"/>
          <w:bCs/>
          <w:sz w:val="28"/>
          <w:szCs w:val="28"/>
        </w:rPr>
        <w:t xml:space="preserve"> млн</w:t>
      </w:r>
      <w:r>
        <w:rPr>
          <w:rFonts w:ascii="Times New Roman" w:hAnsi="Times New Roman" w:cs="Times New Roman"/>
          <w:bCs/>
          <w:sz w:val="28"/>
          <w:szCs w:val="28"/>
        </w:rPr>
        <w:t>. рублей (32</w:t>
      </w:r>
      <w:r w:rsidRPr="00C869F2">
        <w:rPr>
          <w:rFonts w:ascii="Times New Roman" w:hAnsi="Times New Roman" w:cs="Times New Roman"/>
          <w:bCs/>
          <w:sz w:val="28"/>
          <w:szCs w:val="28"/>
        </w:rPr>
        <w:t>%)</w:t>
      </w:r>
      <w:r>
        <w:rPr>
          <w:rFonts w:ascii="Times New Roman" w:hAnsi="Times New Roman" w:cs="Times New Roman"/>
          <w:bCs/>
          <w:sz w:val="28"/>
          <w:szCs w:val="28"/>
        </w:rPr>
        <w:t>, и «</w:t>
      </w:r>
      <w:r w:rsidRPr="00C869F2">
        <w:rPr>
          <w:rFonts w:ascii="Times New Roman" w:hAnsi="Times New Roman" w:cs="Times New Roman"/>
          <w:bCs/>
          <w:sz w:val="28"/>
          <w:szCs w:val="28"/>
        </w:rPr>
        <w:t>производство и распределение</w:t>
      </w:r>
      <w:r>
        <w:rPr>
          <w:rFonts w:ascii="Times New Roman" w:hAnsi="Times New Roman" w:cs="Times New Roman"/>
          <w:bCs/>
          <w:sz w:val="28"/>
          <w:szCs w:val="28"/>
        </w:rPr>
        <w:t xml:space="preserve"> </w:t>
      </w:r>
      <w:r w:rsidRPr="00C869F2">
        <w:rPr>
          <w:rFonts w:ascii="Times New Roman" w:hAnsi="Times New Roman" w:cs="Times New Roman"/>
          <w:bCs/>
          <w:sz w:val="28"/>
          <w:szCs w:val="28"/>
        </w:rPr>
        <w:t>электроэнергии, газа и воды»</w:t>
      </w:r>
      <w:r>
        <w:rPr>
          <w:rFonts w:ascii="Times New Roman" w:hAnsi="Times New Roman" w:cs="Times New Roman"/>
          <w:bCs/>
          <w:sz w:val="28"/>
          <w:szCs w:val="28"/>
        </w:rPr>
        <w:t xml:space="preserve"> - 34,8 млн.руб. (19%)</w:t>
      </w:r>
      <w:r w:rsidRPr="00C869F2">
        <w:rPr>
          <w:rFonts w:ascii="Times New Roman" w:hAnsi="Times New Roman" w:cs="Times New Roman"/>
          <w:bCs/>
          <w:sz w:val="28"/>
          <w:szCs w:val="28"/>
        </w:rPr>
        <w:t>.</w:t>
      </w:r>
    </w:p>
    <w:p w:rsidR="00B86672" w:rsidRPr="00B86672" w:rsidRDefault="00F15C0E" w:rsidP="00B86672">
      <w:pPr>
        <w:tabs>
          <w:tab w:val="left" w:pos="1254"/>
        </w:tabs>
        <w:spacing w:after="0" w:line="240" w:lineRule="auto"/>
        <w:ind w:firstLine="709"/>
        <w:jc w:val="both"/>
        <w:outlineLvl w:val="1"/>
        <w:rPr>
          <w:rFonts w:ascii="Times New Roman" w:hAnsi="Times New Roman" w:cs="Times New Roman"/>
          <w:bCs/>
          <w:sz w:val="28"/>
          <w:szCs w:val="28"/>
        </w:rPr>
      </w:pPr>
      <w:r w:rsidRPr="00372468">
        <w:rPr>
          <w:rFonts w:ascii="Verdana" w:hAnsi="Verdana"/>
          <w:i/>
          <w:noProof/>
          <w:color w:val="365F91" w:themeColor="accent1" w:themeShade="BF"/>
          <w:sz w:val="18"/>
          <w:szCs w:val="18"/>
          <w:u w:val="single"/>
          <w:lang w:eastAsia="ru-RU"/>
        </w:rPr>
        <w:drawing>
          <wp:anchor distT="0" distB="0" distL="114300" distR="114300" simplePos="0" relativeHeight="251655680" behindDoc="0" locked="0" layoutInCell="1" allowOverlap="1" wp14:anchorId="60159362" wp14:editId="36C3FA55">
            <wp:simplePos x="0" y="0"/>
            <wp:positionH relativeFrom="column">
              <wp:posOffset>107315</wp:posOffset>
            </wp:positionH>
            <wp:positionV relativeFrom="paragraph">
              <wp:posOffset>80010</wp:posOffset>
            </wp:positionV>
            <wp:extent cx="2562225" cy="2076450"/>
            <wp:effectExtent l="0" t="0" r="0" b="0"/>
            <wp:wrapSquare wrapText="bothSides"/>
            <wp:docPr id="2"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6B5895">
        <w:rPr>
          <w:rFonts w:ascii="Times New Roman" w:hAnsi="Times New Roman" w:cs="Times New Roman"/>
          <w:bCs/>
          <w:sz w:val="28"/>
          <w:szCs w:val="28"/>
        </w:rPr>
        <w:t>В</w:t>
      </w:r>
      <w:r w:rsidR="00B86672" w:rsidRPr="00B86672">
        <w:rPr>
          <w:rFonts w:ascii="Times New Roman" w:hAnsi="Times New Roman" w:cs="Times New Roman"/>
          <w:bCs/>
          <w:sz w:val="28"/>
          <w:szCs w:val="28"/>
        </w:rPr>
        <w:t xml:space="preserve"> </w:t>
      </w:r>
      <w:r w:rsidR="006B5895">
        <w:rPr>
          <w:rFonts w:ascii="Times New Roman" w:hAnsi="Times New Roman" w:cs="Times New Roman"/>
          <w:bCs/>
          <w:sz w:val="28"/>
          <w:szCs w:val="28"/>
        </w:rPr>
        <w:t>но</w:t>
      </w:r>
      <w:r w:rsidR="00B86672" w:rsidRPr="00B86672">
        <w:rPr>
          <w:rFonts w:ascii="Times New Roman" w:hAnsi="Times New Roman" w:cs="Times New Roman"/>
          <w:bCs/>
          <w:sz w:val="28"/>
          <w:szCs w:val="28"/>
        </w:rPr>
        <w:t xml:space="preserve">ябре наблюдалось незначительное ускорение темпа инфляции: </w:t>
      </w:r>
      <w:r w:rsidR="00B86672" w:rsidRPr="00C11BB8">
        <w:rPr>
          <w:rFonts w:ascii="Times New Roman" w:hAnsi="Times New Roman" w:cs="Times New Roman"/>
          <w:b/>
          <w:bCs/>
          <w:sz w:val="28"/>
          <w:szCs w:val="28"/>
        </w:rPr>
        <w:t xml:space="preserve">ИПЦ </w:t>
      </w:r>
      <w:r w:rsidR="00B86672" w:rsidRPr="00B86672">
        <w:rPr>
          <w:rFonts w:ascii="Times New Roman" w:hAnsi="Times New Roman" w:cs="Times New Roman"/>
          <w:bCs/>
          <w:sz w:val="28"/>
          <w:szCs w:val="28"/>
        </w:rPr>
        <w:t>составил 100,</w:t>
      </w:r>
      <w:r w:rsidR="006B5895">
        <w:rPr>
          <w:rFonts w:ascii="Times New Roman" w:hAnsi="Times New Roman" w:cs="Times New Roman"/>
          <w:bCs/>
          <w:sz w:val="28"/>
          <w:szCs w:val="28"/>
        </w:rPr>
        <w:t>7</w:t>
      </w:r>
      <w:r w:rsidR="00B86672" w:rsidRPr="00B86672">
        <w:rPr>
          <w:rFonts w:ascii="Times New Roman" w:hAnsi="Times New Roman" w:cs="Times New Roman"/>
          <w:bCs/>
          <w:sz w:val="28"/>
          <w:szCs w:val="28"/>
        </w:rPr>
        <w:t xml:space="preserve">% к </w:t>
      </w:r>
      <w:r w:rsidR="006B5895">
        <w:rPr>
          <w:rFonts w:ascii="Times New Roman" w:hAnsi="Times New Roman" w:cs="Times New Roman"/>
          <w:bCs/>
          <w:sz w:val="28"/>
          <w:szCs w:val="28"/>
        </w:rPr>
        <w:t>ок</w:t>
      </w:r>
      <w:r w:rsidR="00B86672" w:rsidRPr="00B86672">
        <w:rPr>
          <w:rFonts w:ascii="Times New Roman" w:hAnsi="Times New Roman" w:cs="Times New Roman"/>
          <w:bCs/>
          <w:sz w:val="28"/>
          <w:szCs w:val="28"/>
        </w:rPr>
        <w:t>тябрю 2015 года (в основном за счет роста цен на продовольственные товары на 1,</w:t>
      </w:r>
      <w:r w:rsidR="006B5895">
        <w:rPr>
          <w:rFonts w:ascii="Times New Roman" w:hAnsi="Times New Roman" w:cs="Times New Roman"/>
          <w:bCs/>
          <w:sz w:val="28"/>
          <w:szCs w:val="28"/>
        </w:rPr>
        <w:t>5</w:t>
      </w:r>
      <w:r w:rsidR="00B86672" w:rsidRPr="00B86672">
        <w:rPr>
          <w:rFonts w:ascii="Times New Roman" w:hAnsi="Times New Roman" w:cs="Times New Roman"/>
          <w:bCs/>
          <w:sz w:val="28"/>
          <w:szCs w:val="28"/>
        </w:rPr>
        <w:t xml:space="preserve">% к прошлому месяцу); при этом снижение цен на платные услуги населению составило 0,3% к </w:t>
      </w:r>
      <w:r w:rsidR="006B5895">
        <w:rPr>
          <w:rFonts w:ascii="Times New Roman" w:hAnsi="Times New Roman" w:cs="Times New Roman"/>
          <w:bCs/>
          <w:sz w:val="28"/>
          <w:szCs w:val="28"/>
        </w:rPr>
        <w:t>ок</w:t>
      </w:r>
      <w:r w:rsidR="00B86672" w:rsidRPr="00B86672">
        <w:rPr>
          <w:rFonts w:ascii="Times New Roman" w:hAnsi="Times New Roman" w:cs="Times New Roman"/>
          <w:bCs/>
          <w:sz w:val="28"/>
          <w:szCs w:val="28"/>
        </w:rPr>
        <w:t>тябрю текущего года</w:t>
      </w:r>
      <w:r w:rsidR="006B5895">
        <w:rPr>
          <w:rFonts w:ascii="Times New Roman" w:hAnsi="Times New Roman" w:cs="Times New Roman"/>
          <w:bCs/>
          <w:sz w:val="28"/>
          <w:szCs w:val="28"/>
        </w:rPr>
        <w:t>.</w:t>
      </w:r>
    </w:p>
    <w:p w:rsidR="00B86672" w:rsidRPr="00B86672" w:rsidRDefault="00DC061C" w:rsidP="00B86672">
      <w:pPr>
        <w:tabs>
          <w:tab w:val="left" w:pos="1254"/>
        </w:tabs>
        <w:spacing w:after="0" w:line="240" w:lineRule="auto"/>
        <w:ind w:firstLine="709"/>
        <w:jc w:val="both"/>
        <w:outlineLvl w:val="1"/>
        <w:rPr>
          <w:rFonts w:ascii="Times New Roman" w:hAnsi="Times New Roman" w:cs="Times New Roman"/>
          <w:bCs/>
          <w:sz w:val="28"/>
          <w:szCs w:val="28"/>
        </w:rPr>
      </w:pPr>
      <w:r w:rsidRPr="00C11BB8">
        <w:rPr>
          <w:rFonts w:ascii="Times New Roman" w:hAnsi="Times New Roman" w:cs="Times New Roman"/>
          <w:b/>
          <w:bCs/>
          <w:sz w:val="28"/>
          <w:szCs w:val="28"/>
        </w:rPr>
        <w:t>Ч</w:t>
      </w:r>
      <w:r w:rsidR="00B86672" w:rsidRPr="00C11BB8">
        <w:rPr>
          <w:rFonts w:ascii="Times New Roman" w:hAnsi="Times New Roman" w:cs="Times New Roman"/>
          <w:b/>
          <w:bCs/>
          <w:sz w:val="28"/>
          <w:szCs w:val="28"/>
        </w:rPr>
        <w:t>исленность безработных</w:t>
      </w:r>
      <w:r w:rsidR="00B86672" w:rsidRPr="00B86672">
        <w:rPr>
          <w:rFonts w:ascii="Times New Roman" w:hAnsi="Times New Roman" w:cs="Times New Roman"/>
          <w:bCs/>
          <w:sz w:val="28"/>
          <w:szCs w:val="28"/>
        </w:rPr>
        <w:t xml:space="preserve"> на конец </w:t>
      </w:r>
      <w:r>
        <w:rPr>
          <w:rFonts w:ascii="Times New Roman" w:hAnsi="Times New Roman" w:cs="Times New Roman"/>
          <w:bCs/>
          <w:sz w:val="28"/>
          <w:szCs w:val="28"/>
        </w:rPr>
        <w:t>но</w:t>
      </w:r>
      <w:r w:rsidR="00B86672" w:rsidRPr="00B86672">
        <w:rPr>
          <w:rFonts w:ascii="Times New Roman" w:hAnsi="Times New Roman" w:cs="Times New Roman"/>
          <w:bCs/>
          <w:sz w:val="28"/>
          <w:szCs w:val="28"/>
        </w:rPr>
        <w:t xml:space="preserve">ября </w:t>
      </w:r>
      <w:r>
        <w:rPr>
          <w:rFonts w:ascii="Times New Roman" w:hAnsi="Times New Roman" w:cs="Times New Roman"/>
          <w:bCs/>
          <w:sz w:val="28"/>
          <w:szCs w:val="28"/>
        </w:rPr>
        <w:t>составила 12,6 тыс. человек и несколько увеличилась по сравнению с</w:t>
      </w:r>
      <w:r w:rsidR="00B86672" w:rsidRPr="00B86672">
        <w:rPr>
          <w:rFonts w:ascii="Times New Roman" w:hAnsi="Times New Roman" w:cs="Times New Roman"/>
          <w:bCs/>
          <w:sz w:val="28"/>
          <w:szCs w:val="28"/>
        </w:rPr>
        <w:t xml:space="preserve"> прошл</w:t>
      </w:r>
      <w:r>
        <w:rPr>
          <w:rFonts w:ascii="Times New Roman" w:hAnsi="Times New Roman" w:cs="Times New Roman"/>
          <w:bCs/>
          <w:sz w:val="28"/>
          <w:szCs w:val="28"/>
        </w:rPr>
        <w:t>ым</w:t>
      </w:r>
      <w:r w:rsidR="00B86672" w:rsidRPr="00B86672">
        <w:rPr>
          <w:rFonts w:ascii="Times New Roman" w:hAnsi="Times New Roman" w:cs="Times New Roman"/>
          <w:bCs/>
          <w:sz w:val="28"/>
          <w:szCs w:val="28"/>
        </w:rPr>
        <w:t xml:space="preserve"> месяц</w:t>
      </w:r>
      <w:r>
        <w:rPr>
          <w:rFonts w:ascii="Times New Roman" w:hAnsi="Times New Roman" w:cs="Times New Roman"/>
          <w:bCs/>
          <w:sz w:val="28"/>
          <w:szCs w:val="28"/>
        </w:rPr>
        <w:t>ем;</w:t>
      </w:r>
      <w:r w:rsidR="00B86672" w:rsidRPr="00B86672">
        <w:rPr>
          <w:rFonts w:ascii="Times New Roman" w:hAnsi="Times New Roman" w:cs="Times New Roman"/>
          <w:bCs/>
          <w:sz w:val="28"/>
          <w:szCs w:val="28"/>
        </w:rPr>
        <w:t xml:space="preserve"> </w:t>
      </w:r>
      <w:r w:rsidR="00B86672" w:rsidRPr="00C11BB8">
        <w:rPr>
          <w:rFonts w:ascii="Times New Roman" w:hAnsi="Times New Roman" w:cs="Times New Roman"/>
          <w:b/>
          <w:bCs/>
          <w:sz w:val="28"/>
          <w:szCs w:val="28"/>
        </w:rPr>
        <w:t>уровень безработицы</w:t>
      </w:r>
      <w:r w:rsidR="00B86672" w:rsidRPr="00B86672">
        <w:rPr>
          <w:rFonts w:ascii="Times New Roman" w:hAnsi="Times New Roman" w:cs="Times New Roman"/>
          <w:bCs/>
          <w:sz w:val="28"/>
          <w:szCs w:val="28"/>
        </w:rPr>
        <w:t xml:space="preserve"> на предельно низком уровне – 0,4% э</w:t>
      </w:r>
      <w:r w:rsidR="00792269">
        <w:rPr>
          <w:rFonts w:ascii="Times New Roman" w:hAnsi="Times New Roman" w:cs="Times New Roman"/>
          <w:bCs/>
          <w:sz w:val="28"/>
          <w:szCs w:val="28"/>
        </w:rPr>
        <w:t>кономически активного населения.</w:t>
      </w:r>
    </w:p>
    <w:p w:rsidR="00BC302E" w:rsidRPr="00A1366A" w:rsidRDefault="00BC4717" w:rsidP="00A1366A">
      <w:pPr>
        <w:tabs>
          <w:tab w:val="left" w:pos="1254"/>
        </w:tabs>
        <w:spacing w:after="0" w:line="240" w:lineRule="auto"/>
        <w:ind w:firstLine="709"/>
        <w:jc w:val="both"/>
        <w:outlineLvl w:val="1"/>
        <w:rPr>
          <w:rFonts w:ascii="Times New Roman" w:hAnsi="Times New Roman" w:cs="Times New Roman"/>
          <w:bCs/>
          <w:sz w:val="16"/>
          <w:szCs w:val="16"/>
        </w:rPr>
      </w:pPr>
      <w:r w:rsidRPr="00BC4717">
        <w:rPr>
          <w:rFonts w:ascii="Times New Roman" w:hAnsi="Times New Roman" w:cs="Times New Roman"/>
          <w:bCs/>
          <w:sz w:val="28"/>
          <w:szCs w:val="28"/>
        </w:rPr>
        <w:t xml:space="preserve">Численность постоянного населения Санкт-Петербурга по предварительным данным на 1 </w:t>
      </w:r>
      <w:r>
        <w:rPr>
          <w:rFonts w:ascii="Times New Roman" w:hAnsi="Times New Roman" w:cs="Times New Roman"/>
          <w:bCs/>
          <w:sz w:val="28"/>
          <w:szCs w:val="28"/>
        </w:rPr>
        <w:t>ноя</w:t>
      </w:r>
      <w:r w:rsidRPr="00BC4717">
        <w:rPr>
          <w:rFonts w:ascii="Times New Roman" w:hAnsi="Times New Roman" w:cs="Times New Roman"/>
          <w:bCs/>
          <w:sz w:val="28"/>
          <w:szCs w:val="28"/>
        </w:rPr>
        <w:t>бря 2015 года составила 5</w:t>
      </w:r>
      <w:r>
        <w:rPr>
          <w:rFonts w:ascii="Times New Roman" w:hAnsi="Times New Roman" w:cs="Times New Roman"/>
          <w:bCs/>
          <w:sz w:val="28"/>
          <w:szCs w:val="28"/>
        </w:rPr>
        <w:t>20</w:t>
      </w:r>
      <w:r w:rsidRPr="00BC4717">
        <w:rPr>
          <w:rFonts w:ascii="Times New Roman" w:hAnsi="Times New Roman" w:cs="Times New Roman"/>
          <w:bCs/>
          <w:sz w:val="28"/>
          <w:szCs w:val="28"/>
        </w:rPr>
        <w:t>8,</w:t>
      </w:r>
      <w:r>
        <w:rPr>
          <w:rFonts w:ascii="Times New Roman" w:hAnsi="Times New Roman" w:cs="Times New Roman"/>
          <w:bCs/>
          <w:sz w:val="28"/>
          <w:szCs w:val="28"/>
        </w:rPr>
        <w:t>9</w:t>
      </w:r>
      <w:r w:rsidRPr="00BC4717">
        <w:rPr>
          <w:rFonts w:ascii="Times New Roman" w:hAnsi="Times New Roman" w:cs="Times New Roman"/>
          <w:bCs/>
          <w:sz w:val="28"/>
          <w:szCs w:val="28"/>
        </w:rPr>
        <w:t xml:space="preserve"> тыс. человек и с начала года увеличилась на </w:t>
      </w:r>
      <w:r>
        <w:rPr>
          <w:rFonts w:ascii="Times New Roman" w:hAnsi="Times New Roman" w:cs="Times New Roman"/>
          <w:bCs/>
          <w:sz w:val="28"/>
          <w:szCs w:val="28"/>
        </w:rPr>
        <w:t>1</w:t>
      </w:r>
      <w:r w:rsidRPr="00BC4717">
        <w:rPr>
          <w:rFonts w:ascii="Times New Roman" w:hAnsi="Times New Roman" w:cs="Times New Roman"/>
          <w:bCs/>
          <w:sz w:val="28"/>
          <w:szCs w:val="28"/>
        </w:rPr>
        <w:t>7,</w:t>
      </w:r>
      <w:r>
        <w:rPr>
          <w:rFonts w:ascii="Times New Roman" w:hAnsi="Times New Roman" w:cs="Times New Roman"/>
          <w:bCs/>
          <w:sz w:val="28"/>
          <w:szCs w:val="28"/>
        </w:rPr>
        <w:t>2</w:t>
      </w:r>
      <w:r w:rsidRPr="00BC4717">
        <w:rPr>
          <w:rFonts w:ascii="Times New Roman" w:hAnsi="Times New Roman" w:cs="Times New Roman"/>
          <w:bCs/>
          <w:sz w:val="28"/>
          <w:szCs w:val="28"/>
        </w:rPr>
        <w:t xml:space="preserve"> тыс. человек или на 0,3%</w:t>
      </w:r>
      <w:r w:rsidR="00792269" w:rsidRPr="003C2DBB">
        <w:rPr>
          <w:rFonts w:ascii="Verdana" w:hAnsi="Verdana"/>
          <w:noProof/>
          <w:sz w:val="16"/>
          <w:szCs w:val="16"/>
          <w:lang w:eastAsia="ru-RU"/>
        </w:rPr>
        <w:drawing>
          <wp:anchor distT="0" distB="0" distL="114300" distR="114300" simplePos="0" relativeHeight="251657728" behindDoc="0" locked="0" layoutInCell="1" allowOverlap="1" wp14:anchorId="1AE53D33" wp14:editId="67699B87">
            <wp:simplePos x="0" y="0"/>
            <wp:positionH relativeFrom="column">
              <wp:posOffset>3679190</wp:posOffset>
            </wp:positionH>
            <wp:positionV relativeFrom="paragraph">
              <wp:posOffset>478790</wp:posOffset>
            </wp:positionV>
            <wp:extent cx="2800350" cy="1543050"/>
            <wp:effectExtent l="0" t="0" r="0" b="0"/>
            <wp:wrapSquare wrapText="bothSides"/>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r>
        <w:rPr>
          <w:rFonts w:ascii="Verdana" w:hAnsi="Verdana"/>
          <w:sz w:val="18"/>
          <w:szCs w:val="18"/>
        </w:rPr>
        <w:t xml:space="preserve">. </w:t>
      </w:r>
      <w:r w:rsidR="004D28A0">
        <w:rPr>
          <w:rFonts w:ascii="Times New Roman" w:hAnsi="Times New Roman" w:cs="Times New Roman"/>
          <w:bCs/>
          <w:sz w:val="28"/>
          <w:szCs w:val="28"/>
        </w:rPr>
        <w:t>З</w:t>
      </w:r>
      <w:r w:rsidR="00B86672" w:rsidRPr="00B86672">
        <w:rPr>
          <w:rFonts w:ascii="Times New Roman" w:hAnsi="Times New Roman" w:cs="Times New Roman"/>
          <w:bCs/>
          <w:sz w:val="28"/>
          <w:szCs w:val="28"/>
        </w:rPr>
        <w:t>а январь-</w:t>
      </w:r>
      <w:r w:rsidR="004D28A0">
        <w:rPr>
          <w:rFonts w:ascii="Times New Roman" w:hAnsi="Times New Roman" w:cs="Times New Roman"/>
          <w:bCs/>
          <w:sz w:val="28"/>
          <w:szCs w:val="28"/>
        </w:rPr>
        <w:t>ок</w:t>
      </w:r>
      <w:r w:rsidR="00B86672" w:rsidRPr="00B86672">
        <w:rPr>
          <w:rFonts w:ascii="Times New Roman" w:hAnsi="Times New Roman" w:cs="Times New Roman"/>
          <w:bCs/>
          <w:sz w:val="28"/>
          <w:szCs w:val="28"/>
        </w:rPr>
        <w:t>тябрь в Санкт-Петербурге родились 5</w:t>
      </w:r>
      <w:r w:rsidR="004D28A0">
        <w:rPr>
          <w:rFonts w:ascii="Times New Roman" w:hAnsi="Times New Roman" w:cs="Times New Roman"/>
          <w:bCs/>
          <w:sz w:val="28"/>
          <w:szCs w:val="28"/>
        </w:rPr>
        <w:t>8</w:t>
      </w:r>
      <w:r w:rsidR="00B86672" w:rsidRPr="00B86672">
        <w:rPr>
          <w:rFonts w:ascii="Times New Roman" w:hAnsi="Times New Roman" w:cs="Times New Roman"/>
          <w:bCs/>
          <w:sz w:val="28"/>
          <w:szCs w:val="28"/>
        </w:rPr>
        <w:t>,</w:t>
      </w:r>
      <w:r w:rsidR="004D28A0">
        <w:rPr>
          <w:rFonts w:ascii="Times New Roman" w:hAnsi="Times New Roman" w:cs="Times New Roman"/>
          <w:bCs/>
          <w:sz w:val="28"/>
          <w:szCs w:val="28"/>
        </w:rPr>
        <w:t>7</w:t>
      </w:r>
      <w:r w:rsidR="00B86672" w:rsidRPr="00B86672">
        <w:rPr>
          <w:rFonts w:ascii="Times New Roman" w:hAnsi="Times New Roman" w:cs="Times New Roman"/>
          <w:bCs/>
          <w:sz w:val="28"/>
          <w:szCs w:val="28"/>
        </w:rPr>
        <w:t xml:space="preserve"> тыс. детей, что на 2,</w:t>
      </w:r>
      <w:r w:rsidR="004D28A0">
        <w:rPr>
          <w:rFonts w:ascii="Times New Roman" w:hAnsi="Times New Roman" w:cs="Times New Roman"/>
          <w:bCs/>
          <w:sz w:val="28"/>
          <w:szCs w:val="28"/>
        </w:rPr>
        <w:t>5</w:t>
      </w:r>
      <w:r w:rsidR="00B86672" w:rsidRPr="00B86672">
        <w:rPr>
          <w:rFonts w:ascii="Times New Roman" w:hAnsi="Times New Roman" w:cs="Times New Roman"/>
          <w:bCs/>
          <w:sz w:val="28"/>
          <w:szCs w:val="28"/>
        </w:rPr>
        <w:t xml:space="preserve"> тыс. человек больше, чем в соответствующем периоде 2014 года. </w:t>
      </w:r>
      <w:r w:rsidR="00B86672" w:rsidRPr="00C11BB8">
        <w:rPr>
          <w:rFonts w:ascii="Times New Roman" w:hAnsi="Times New Roman" w:cs="Times New Roman"/>
          <w:b/>
          <w:bCs/>
          <w:sz w:val="28"/>
          <w:szCs w:val="28"/>
        </w:rPr>
        <w:t>Естественный прирост</w:t>
      </w:r>
      <w:r w:rsidR="00B86672" w:rsidRPr="00B86672">
        <w:rPr>
          <w:rFonts w:ascii="Times New Roman" w:hAnsi="Times New Roman" w:cs="Times New Roman"/>
          <w:bCs/>
          <w:sz w:val="28"/>
          <w:szCs w:val="28"/>
        </w:rPr>
        <w:t xml:space="preserve"> населения увеличился на 1</w:t>
      </w:r>
      <w:r w:rsidR="004D28A0">
        <w:rPr>
          <w:rFonts w:ascii="Times New Roman" w:hAnsi="Times New Roman" w:cs="Times New Roman"/>
          <w:bCs/>
          <w:sz w:val="28"/>
          <w:szCs w:val="28"/>
        </w:rPr>
        <w:t>7</w:t>
      </w:r>
      <w:r w:rsidR="00B86672" w:rsidRPr="00B86672">
        <w:rPr>
          <w:rFonts w:ascii="Times New Roman" w:hAnsi="Times New Roman" w:cs="Times New Roman"/>
          <w:bCs/>
          <w:sz w:val="28"/>
          <w:szCs w:val="28"/>
        </w:rPr>
        <w:t>% по сравнению с уровнем января-</w:t>
      </w:r>
      <w:r w:rsidR="004D28A0">
        <w:rPr>
          <w:rFonts w:ascii="Times New Roman" w:hAnsi="Times New Roman" w:cs="Times New Roman"/>
          <w:bCs/>
          <w:sz w:val="28"/>
          <w:szCs w:val="28"/>
        </w:rPr>
        <w:t>ок</w:t>
      </w:r>
      <w:r w:rsidR="004D28A0" w:rsidRPr="00B86672">
        <w:rPr>
          <w:rFonts w:ascii="Times New Roman" w:hAnsi="Times New Roman" w:cs="Times New Roman"/>
          <w:bCs/>
          <w:sz w:val="28"/>
          <w:szCs w:val="28"/>
        </w:rPr>
        <w:t>тября</w:t>
      </w:r>
      <w:r w:rsidR="00B86672" w:rsidRPr="00B86672">
        <w:rPr>
          <w:rFonts w:ascii="Times New Roman" w:hAnsi="Times New Roman" w:cs="Times New Roman"/>
          <w:bCs/>
          <w:sz w:val="28"/>
          <w:szCs w:val="28"/>
        </w:rPr>
        <w:t xml:space="preserve"> прошлого года. </w:t>
      </w:r>
      <w:r w:rsidR="00B86672" w:rsidRPr="006279BF">
        <w:rPr>
          <w:rFonts w:ascii="Times New Roman" w:hAnsi="Times New Roman" w:cs="Times New Roman"/>
          <w:b/>
          <w:bCs/>
          <w:sz w:val="28"/>
          <w:szCs w:val="28"/>
        </w:rPr>
        <w:t>Миграционный прирост</w:t>
      </w:r>
      <w:r w:rsidR="00B86672" w:rsidRPr="00B86672">
        <w:rPr>
          <w:rFonts w:ascii="Times New Roman" w:hAnsi="Times New Roman" w:cs="Times New Roman"/>
          <w:bCs/>
          <w:sz w:val="28"/>
          <w:szCs w:val="28"/>
        </w:rPr>
        <w:t xml:space="preserve"> </w:t>
      </w:r>
      <w:r w:rsidR="004D28A0">
        <w:rPr>
          <w:rFonts w:ascii="Times New Roman" w:hAnsi="Times New Roman" w:cs="Times New Roman"/>
          <w:bCs/>
          <w:sz w:val="28"/>
          <w:szCs w:val="28"/>
        </w:rPr>
        <w:t xml:space="preserve">за 9 месяцев текущего года </w:t>
      </w:r>
      <w:r w:rsidR="00B86672" w:rsidRPr="00B86672">
        <w:rPr>
          <w:rFonts w:ascii="Times New Roman" w:hAnsi="Times New Roman" w:cs="Times New Roman"/>
          <w:bCs/>
          <w:sz w:val="28"/>
          <w:szCs w:val="28"/>
        </w:rPr>
        <w:t>составил 1,2 тыс. человек и достигнут за счет межрегиональной миграции, которая восполнила международную миграционную убыль.</w:t>
      </w:r>
      <w:r w:rsidR="00792269" w:rsidRPr="00792269">
        <w:rPr>
          <w:rFonts w:ascii="Verdana" w:hAnsi="Verdana"/>
          <w:noProof/>
          <w:sz w:val="16"/>
          <w:szCs w:val="16"/>
        </w:rPr>
        <w:t xml:space="preserve"> </w:t>
      </w:r>
    </w:p>
    <w:sectPr w:rsidR="00BC302E" w:rsidRPr="00A1366A" w:rsidSect="003E4B3F">
      <w:pgSz w:w="11906" w:h="16838"/>
      <w:pgMar w:top="1134" w:right="850" w:bottom="851"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DE5" w:rsidRDefault="003C5DE5" w:rsidP="00432C86">
      <w:pPr>
        <w:spacing w:after="0" w:line="240" w:lineRule="auto"/>
      </w:pPr>
      <w:r>
        <w:separator/>
      </w:r>
    </w:p>
  </w:endnote>
  <w:endnote w:type="continuationSeparator" w:id="0">
    <w:p w:rsidR="003C5DE5" w:rsidRDefault="003C5DE5" w:rsidP="00432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DE5" w:rsidRDefault="003C5DE5" w:rsidP="00432C86">
      <w:pPr>
        <w:spacing w:after="0" w:line="240" w:lineRule="auto"/>
      </w:pPr>
      <w:r>
        <w:separator/>
      </w:r>
    </w:p>
  </w:footnote>
  <w:footnote w:type="continuationSeparator" w:id="0">
    <w:p w:rsidR="003C5DE5" w:rsidRDefault="003C5DE5" w:rsidP="00432C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46FE7"/>
    <w:multiLevelType w:val="hybridMultilevel"/>
    <w:tmpl w:val="C7A808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884E5F"/>
    <w:multiLevelType w:val="hybridMultilevel"/>
    <w:tmpl w:val="53EAA5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1C6C76"/>
    <w:multiLevelType w:val="hybridMultilevel"/>
    <w:tmpl w:val="5358EE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781121"/>
    <w:multiLevelType w:val="hybridMultilevel"/>
    <w:tmpl w:val="A9B03C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DA5"/>
    <w:rsid w:val="000020FE"/>
    <w:rsid w:val="00003352"/>
    <w:rsid w:val="000061E3"/>
    <w:rsid w:val="00016FA4"/>
    <w:rsid w:val="00020240"/>
    <w:rsid w:val="00036921"/>
    <w:rsid w:val="00040728"/>
    <w:rsid w:val="00050EB0"/>
    <w:rsid w:val="00054DC7"/>
    <w:rsid w:val="00065ADF"/>
    <w:rsid w:val="00080675"/>
    <w:rsid w:val="00091753"/>
    <w:rsid w:val="00094B83"/>
    <w:rsid w:val="000A2A9C"/>
    <w:rsid w:val="000A4FE0"/>
    <w:rsid w:val="000B4DE7"/>
    <w:rsid w:val="000E078B"/>
    <w:rsid w:val="000E7C21"/>
    <w:rsid w:val="000F3EE9"/>
    <w:rsid w:val="00101F60"/>
    <w:rsid w:val="00106A3B"/>
    <w:rsid w:val="00110E36"/>
    <w:rsid w:val="0012179F"/>
    <w:rsid w:val="00122EBD"/>
    <w:rsid w:val="00122F0E"/>
    <w:rsid w:val="001341EF"/>
    <w:rsid w:val="00140C69"/>
    <w:rsid w:val="00150F4E"/>
    <w:rsid w:val="001618E8"/>
    <w:rsid w:val="0017180B"/>
    <w:rsid w:val="0018349A"/>
    <w:rsid w:val="0019096E"/>
    <w:rsid w:val="0019341A"/>
    <w:rsid w:val="001A0203"/>
    <w:rsid w:val="001A6FF1"/>
    <w:rsid w:val="001B1D77"/>
    <w:rsid w:val="001B3BA3"/>
    <w:rsid w:val="001B43B1"/>
    <w:rsid w:val="001B69AA"/>
    <w:rsid w:val="001B74B7"/>
    <w:rsid w:val="001C2D90"/>
    <w:rsid w:val="001D4098"/>
    <w:rsid w:val="001E05D2"/>
    <w:rsid w:val="001E0FCA"/>
    <w:rsid w:val="001E1153"/>
    <w:rsid w:val="001E1F91"/>
    <w:rsid w:val="001F771B"/>
    <w:rsid w:val="00201EC8"/>
    <w:rsid w:val="002136D6"/>
    <w:rsid w:val="00220B20"/>
    <w:rsid w:val="00236906"/>
    <w:rsid w:val="00246CDC"/>
    <w:rsid w:val="00253894"/>
    <w:rsid w:val="002A059A"/>
    <w:rsid w:val="002A2D21"/>
    <w:rsid w:val="002B3393"/>
    <w:rsid w:val="002B58D2"/>
    <w:rsid w:val="002B7B3A"/>
    <w:rsid w:val="002C6B41"/>
    <w:rsid w:val="002D323C"/>
    <w:rsid w:val="002D4961"/>
    <w:rsid w:val="002D549F"/>
    <w:rsid w:val="002D72C4"/>
    <w:rsid w:val="002F2EB1"/>
    <w:rsid w:val="002F3B98"/>
    <w:rsid w:val="002F4A78"/>
    <w:rsid w:val="00301E66"/>
    <w:rsid w:val="00303EE0"/>
    <w:rsid w:val="00306489"/>
    <w:rsid w:val="00310B7D"/>
    <w:rsid w:val="00331FC0"/>
    <w:rsid w:val="00353A8E"/>
    <w:rsid w:val="00355CA5"/>
    <w:rsid w:val="00360EFC"/>
    <w:rsid w:val="00362B29"/>
    <w:rsid w:val="003661F1"/>
    <w:rsid w:val="003925FF"/>
    <w:rsid w:val="003C5DE5"/>
    <w:rsid w:val="003D1238"/>
    <w:rsid w:val="003E45BD"/>
    <w:rsid w:val="003E4B3F"/>
    <w:rsid w:val="003F5833"/>
    <w:rsid w:val="00400E54"/>
    <w:rsid w:val="00410055"/>
    <w:rsid w:val="00417001"/>
    <w:rsid w:val="004316B8"/>
    <w:rsid w:val="00432C86"/>
    <w:rsid w:val="004465E7"/>
    <w:rsid w:val="00447892"/>
    <w:rsid w:val="00454A9A"/>
    <w:rsid w:val="004555B9"/>
    <w:rsid w:val="00455D84"/>
    <w:rsid w:val="004565D4"/>
    <w:rsid w:val="00457F1D"/>
    <w:rsid w:val="0046419B"/>
    <w:rsid w:val="00471CB2"/>
    <w:rsid w:val="004774B4"/>
    <w:rsid w:val="0049480D"/>
    <w:rsid w:val="004A1035"/>
    <w:rsid w:val="004B7EE8"/>
    <w:rsid w:val="004C70A6"/>
    <w:rsid w:val="004D166B"/>
    <w:rsid w:val="004D28A0"/>
    <w:rsid w:val="004D4C4F"/>
    <w:rsid w:val="004D68E0"/>
    <w:rsid w:val="004F5ACD"/>
    <w:rsid w:val="0050075E"/>
    <w:rsid w:val="0051532F"/>
    <w:rsid w:val="0052123F"/>
    <w:rsid w:val="00524921"/>
    <w:rsid w:val="00524AC2"/>
    <w:rsid w:val="00536515"/>
    <w:rsid w:val="0053679C"/>
    <w:rsid w:val="005554C8"/>
    <w:rsid w:val="00556159"/>
    <w:rsid w:val="00556DBF"/>
    <w:rsid w:val="00566B14"/>
    <w:rsid w:val="00572EB3"/>
    <w:rsid w:val="005779F6"/>
    <w:rsid w:val="00583832"/>
    <w:rsid w:val="00586EEE"/>
    <w:rsid w:val="0059542D"/>
    <w:rsid w:val="005A45E1"/>
    <w:rsid w:val="005A4D66"/>
    <w:rsid w:val="005B0DA5"/>
    <w:rsid w:val="005B1795"/>
    <w:rsid w:val="005B23F1"/>
    <w:rsid w:val="005B4667"/>
    <w:rsid w:val="005E541D"/>
    <w:rsid w:val="005E55BB"/>
    <w:rsid w:val="005F7FCC"/>
    <w:rsid w:val="006006A0"/>
    <w:rsid w:val="00603C34"/>
    <w:rsid w:val="00625134"/>
    <w:rsid w:val="00627007"/>
    <w:rsid w:val="006279BF"/>
    <w:rsid w:val="00633B99"/>
    <w:rsid w:val="006434A9"/>
    <w:rsid w:val="00654079"/>
    <w:rsid w:val="00661F86"/>
    <w:rsid w:val="006702D4"/>
    <w:rsid w:val="00676FC2"/>
    <w:rsid w:val="00694F55"/>
    <w:rsid w:val="006A19CC"/>
    <w:rsid w:val="006B44CB"/>
    <w:rsid w:val="006B5895"/>
    <w:rsid w:val="006B76E1"/>
    <w:rsid w:val="006C460A"/>
    <w:rsid w:val="006D41E0"/>
    <w:rsid w:val="006F1175"/>
    <w:rsid w:val="00715136"/>
    <w:rsid w:val="007225A2"/>
    <w:rsid w:val="00724C55"/>
    <w:rsid w:val="00732DB4"/>
    <w:rsid w:val="00737DF1"/>
    <w:rsid w:val="00746801"/>
    <w:rsid w:val="00752BBF"/>
    <w:rsid w:val="00766AEC"/>
    <w:rsid w:val="00777E22"/>
    <w:rsid w:val="00780FC1"/>
    <w:rsid w:val="0078501F"/>
    <w:rsid w:val="00792269"/>
    <w:rsid w:val="00796C30"/>
    <w:rsid w:val="007A0830"/>
    <w:rsid w:val="007B5377"/>
    <w:rsid w:val="007B7BF6"/>
    <w:rsid w:val="007C2AD1"/>
    <w:rsid w:val="007E1DAB"/>
    <w:rsid w:val="007E333D"/>
    <w:rsid w:val="007F52C7"/>
    <w:rsid w:val="007F7BC9"/>
    <w:rsid w:val="00814F56"/>
    <w:rsid w:val="0082161D"/>
    <w:rsid w:val="008305A5"/>
    <w:rsid w:val="00832DCE"/>
    <w:rsid w:val="00841839"/>
    <w:rsid w:val="00844458"/>
    <w:rsid w:val="0084501E"/>
    <w:rsid w:val="0085376D"/>
    <w:rsid w:val="00860828"/>
    <w:rsid w:val="00860E85"/>
    <w:rsid w:val="008677C0"/>
    <w:rsid w:val="00883DF3"/>
    <w:rsid w:val="00885FAB"/>
    <w:rsid w:val="00891B5E"/>
    <w:rsid w:val="008948C7"/>
    <w:rsid w:val="00895424"/>
    <w:rsid w:val="008A2498"/>
    <w:rsid w:val="008B3373"/>
    <w:rsid w:val="008B7360"/>
    <w:rsid w:val="008B7624"/>
    <w:rsid w:val="008C1DE4"/>
    <w:rsid w:val="008C4A75"/>
    <w:rsid w:val="008E4134"/>
    <w:rsid w:val="008E7633"/>
    <w:rsid w:val="008F45AF"/>
    <w:rsid w:val="008F4810"/>
    <w:rsid w:val="00907020"/>
    <w:rsid w:val="009352F4"/>
    <w:rsid w:val="0094548F"/>
    <w:rsid w:val="00965DD7"/>
    <w:rsid w:val="009662F6"/>
    <w:rsid w:val="00981A6D"/>
    <w:rsid w:val="009846E4"/>
    <w:rsid w:val="0099663C"/>
    <w:rsid w:val="009D25C3"/>
    <w:rsid w:val="009F374D"/>
    <w:rsid w:val="009F4B38"/>
    <w:rsid w:val="00A03D1D"/>
    <w:rsid w:val="00A0670A"/>
    <w:rsid w:val="00A06DDA"/>
    <w:rsid w:val="00A1366A"/>
    <w:rsid w:val="00A14140"/>
    <w:rsid w:val="00A14516"/>
    <w:rsid w:val="00A303CE"/>
    <w:rsid w:val="00A31670"/>
    <w:rsid w:val="00A33B70"/>
    <w:rsid w:val="00A36C1D"/>
    <w:rsid w:val="00A41D72"/>
    <w:rsid w:val="00A52183"/>
    <w:rsid w:val="00A54FB4"/>
    <w:rsid w:val="00A616B0"/>
    <w:rsid w:val="00A61763"/>
    <w:rsid w:val="00A67D4D"/>
    <w:rsid w:val="00A7579B"/>
    <w:rsid w:val="00A75EB4"/>
    <w:rsid w:val="00A82B76"/>
    <w:rsid w:val="00A9108B"/>
    <w:rsid w:val="00AA1668"/>
    <w:rsid w:val="00AA57DF"/>
    <w:rsid w:val="00AC29A7"/>
    <w:rsid w:val="00AC667D"/>
    <w:rsid w:val="00AE6D66"/>
    <w:rsid w:val="00AF0389"/>
    <w:rsid w:val="00AF35AC"/>
    <w:rsid w:val="00B01CA7"/>
    <w:rsid w:val="00B35822"/>
    <w:rsid w:val="00B43918"/>
    <w:rsid w:val="00B43EE4"/>
    <w:rsid w:val="00B62530"/>
    <w:rsid w:val="00B71407"/>
    <w:rsid w:val="00B86672"/>
    <w:rsid w:val="00B86D3E"/>
    <w:rsid w:val="00B873CE"/>
    <w:rsid w:val="00B91BB3"/>
    <w:rsid w:val="00B91C0B"/>
    <w:rsid w:val="00BB0563"/>
    <w:rsid w:val="00BB4868"/>
    <w:rsid w:val="00BC1A78"/>
    <w:rsid w:val="00BC302E"/>
    <w:rsid w:val="00BC4717"/>
    <w:rsid w:val="00BC548F"/>
    <w:rsid w:val="00BF1CC8"/>
    <w:rsid w:val="00BF3DB5"/>
    <w:rsid w:val="00BF5AEB"/>
    <w:rsid w:val="00BF7686"/>
    <w:rsid w:val="00BF76BE"/>
    <w:rsid w:val="00C11BB8"/>
    <w:rsid w:val="00C214D1"/>
    <w:rsid w:val="00C2317A"/>
    <w:rsid w:val="00C24329"/>
    <w:rsid w:val="00C350F5"/>
    <w:rsid w:val="00C408D4"/>
    <w:rsid w:val="00C4793B"/>
    <w:rsid w:val="00C51A0B"/>
    <w:rsid w:val="00C722DF"/>
    <w:rsid w:val="00C817FE"/>
    <w:rsid w:val="00C869F2"/>
    <w:rsid w:val="00CA129F"/>
    <w:rsid w:val="00CB3F2A"/>
    <w:rsid w:val="00CB798D"/>
    <w:rsid w:val="00CD2518"/>
    <w:rsid w:val="00CD74EC"/>
    <w:rsid w:val="00CD7B40"/>
    <w:rsid w:val="00CE16BF"/>
    <w:rsid w:val="00D13671"/>
    <w:rsid w:val="00D16DDB"/>
    <w:rsid w:val="00D231EA"/>
    <w:rsid w:val="00D32ACE"/>
    <w:rsid w:val="00D36B8A"/>
    <w:rsid w:val="00D45229"/>
    <w:rsid w:val="00D57F87"/>
    <w:rsid w:val="00D72FA0"/>
    <w:rsid w:val="00D819D6"/>
    <w:rsid w:val="00D832F7"/>
    <w:rsid w:val="00D84516"/>
    <w:rsid w:val="00D87825"/>
    <w:rsid w:val="00D91603"/>
    <w:rsid w:val="00DA51B3"/>
    <w:rsid w:val="00DB0657"/>
    <w:rsid w:val="00DB22E7"/>
    <w:rsid w:val="00DC061C"/>
    <w:rsid w:val="00DC4BEC"/>
    <w:rsid w:val="00DD788E"/>
    <w:rsid w:val="00DE1829"/>
    <w:rsid w:val="00DE1E8E"/>
    <w:rsid w:val="00E03B50"/>
    <w:rsid w:val="00E21660"/>
    <w:rsid w:val="00E21A0B"/>
    <w:rsid w:val="00E249AB"/>
    <w:rsid w:val="00E3138F"/>
    <w:rsid w:val="00E31E4E"/>
    <w:rsid w:val="00E363DA"/>
    <w:rsid w:val="00E4023D"/>
    <w:rsid w:val="00E42261"/>
    <w:rsid w:val="00E43779"/>
    <w:rsid w:val="00E441A4"/>
    <w:rsid w:val="00E46F92"/>
    <w:rsid w:val="00E477F1"/>
    <w:rsid w:val="00E50B0F"/>
    <w:rsid w:val="00E71B6E"/>
    <w:rsid w:val="00E72AD7"/>
    <w:rsid w:val="00EB0CD1"/>
    <w:rsid w:val="00EB4A1F"/>
    <w:rsid w:val="00EC0CCB"/>
    <w:rsid w:val="00ED488D"/>
    <w:rsid w:val="00EF4A71"/>
    <w:rsid w:val="00F0265E"/>
    <w:rsid w:val="00F15C0E"/>
    <w:rsid w:val="00F16BEB"/>
    <w:rsid w:val="00F468B1"/>
    <w:rsid w:val="00F61D38"/>
    <w:rsid w:val="00F66929"/>
    <w:rsid w:val="00F82025"/>
    <w:rsid w:val="00F85687"/>
    <w:rsid w:val="00F94289"/>
    <w:rsid w:val="00FB21AB"/>
    <w:rsid w:val="00FB39B1"/>
    <w:rsid w:val="00FD7831"/>
    <w:rsid w:val="00FE0E3C"/>
    <w:rsid w:val="00FF64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3C749C-4DF7-4CB5-AADF-FFF7B13A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FA0"/>
  </w:style>
  <w:style w:type="paragraph" w:styleId="2">
    <w:name w:val="heading 2"/>
    <w:basedOn w:val="a"/>
    <w:next w:val="a"/>
    <w:link w:val="20"/>
    <w:qFormat/>
    <w:rsid w:val="001618E8"/>
    <w:pPr>
      <w:keepNext/>
      <w:widowControl w:val="0"/>
      <w:spacing w:after="0" w:line="240" w:lineRule="auto"/>
      <w:ind w:right="1132"/>
      <w:outlineLvl w:val="1"/>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341EF"/>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uiPriority w:val="99"/>
    <w:rsid w:val="001341EF"/>
    <w:rPr>
      <w:rFonts w:ascii="Times New Roman" w:eastAsia="Times New Roman" w:hAnsi="Times New Roman" w:cs="Times New Roman"/>
      <w:sz w:val="20"/>
      <w:szCs w:val="20"/>
      <w:lang w:eastAsia="ru-RU"/>
    </w:rPr>
  </w:style>
  <w:style w:type="paragraph" w:styleId="a5">
    <w:name w:val="Body Text Indent"/>
    <w:basedOn w:val="a"/>
    <w:link w:val="a6"/>
    <w:uiPriority w:val="99"/>
    <w:semiHidden/>
    <w:unhideWhenUsed/>
    <w:rsid w:val="004D4C4F"/>
    <w:pPr>
      <w:spacing w:after="120"/>
      <w:ind w:left="283"/>
    </w:pPr>
  </w:style>
  <w:style w:type="character" w:customStyle="1" w:styleId="a6">
    <w:name w:val="Основной текст с отступом Знак"/>
    <w:basedOn w:val="a0"/>
    <w:link w:val="a5"/>
    <w:uiPriority w:val="99"/>
    <w:semiHidden/>
    <w:rsid w:val="004D4C4F"/>
  </w:style>
  <w:style w:type="table" w:customStyle="1" w:styleId="-11">
    <w:name w:val="Светлая сетка - Акцент 11"/>
    <w:basedOn w:val="a1"/>
    <w:uiPriority w:val="62"/>
    <w:rsid w:val="001618E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20">
    <w:name w:val="Заголовок 2 Знак"/>
    <w:basedOn w:val="a0"/>
    <w:link w:val="2"/>
    <w:rsid w:val="001618E8"/>
    <w:rPr>
      <w:rFonts w:ascii="Times New Roman" w:eastAsia="Times New Roman" w:hAnsi="Times New Roman" w:cs="Times New Roman"/>
      <w:b/>
      <w:sz w:val="28"/>
      <w:szCs w:val="28"/>
      <w:lang w:eastAsia="ru-RU"/>
    </w:rPr>
  </w:style>
  <w:style w:type="paragraph" w:styleId="3">
    <w:name w:val="Body Text 3"/>
    <w:basedOn w:val="a"/>
    <w:link w:val="30"/>
    <w:uiPriority w:val="99"/>
    <w:semiHidden/>
    <w:unhideWhenUsed/>
    <w:rsid w:val="008B7360"/>
    <w:pPr>
      <w:spacing w:after="120"/>
    </w:pPr>
    <w:rPr>
      <w:sz w:val="16"/>
      <w:szCs w:val="16"/>
    </w:rPr>
  </w:style>
  <w:style w:type="character" w:customStyle="1" w:styleId="30">
    <w:name w:val="Основной текст 3 Знак"/>
    <w:basedOn w:val="a0"/>
    <w:link w:val="3"/>
    <w:uiPriority w:val="99"/>
    <w:semiHidden/>
    <w:rsid w:val="008B7360"/>
    <w:rPr>
      <w:sz w:val="16"/>
      <w:szCs w:val="16"/>
    </w:rPr>
  </w:style>
  <w:style w:type="paragraph" w:styleId="a7">
    <w:name w:val="Title"/>
    <w:basedOn w:val="a"/>
    <w:link w:val="a8"/>
    <w:qFormat/>
    <w:rsid w:val="008B7360"/>
    <w:pPr>
      <w:spacing w:after="0" w:line="240" w:lineRule="auto"/>
      <w:jc w:val="center"/>
    </w:pPr>
    <w:rPr>
      <w:rFonts w:ascii="Times New Roman" w:eastAsia="Times New Roman" w:hAnsi="Times New Roman" w:cs="Times New Roman"/>
      <w:b/>
      <w:bCs/>
      <w:sz w:val="28"/>
      <w:szCs w:val="24"/>
      <w:lang w:eastAsia="ru-RU"/>
    </w:rPr>
  </w:style>
  <w:style w:type="character" w:customStyle="1" w:styleId="a8">
    <w:name w:val="Название Знак"/>
    <w:basedOn w:val="a0"/>
    <w:link w:val="a7"/>
    <w:rsid w:val="008B7360"/>
    <w:rPr>
      <w:rFonts w:ascii="Times New Roman" w:eastAsia="Times New Roman" w:hAnsi="Times New Roman" w:cs="Times New Roman"/>
      <w:b/>
      <w:bCs/>
      <w:sz w:val="28"/>
      <w:szCs w:val="24"/>
      <w:lang w:eastAsia="ru-RU"/>
    </w:rPr>
  </w:style>
  <w:style w:type="paragraph" w:styleId="a9">
    <w:name w:val="header"/>
    <w:basedOn w:val="a"/>
    <w:link w:val="aa"/>
    <w:uiPriority w:val="99"/>
    <w:unhideWhenUsed/>
    <w:rsid w:val="00432C8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32C86"/>
  </w:style>
  <w:style w:type="paragraph" w:styleId="ab">
    <w:name w:val="footer"/>
    <w:basedOn w:val="a"/>
    <w:link w:val="ac"/>
    <w:uiPriority w:val="99"/>
    <w:unhideWhenUsed/>
    <w:rsid w:val="00432C8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32C86"/>
  </w:style>
  <w:style w:type="paragraph" w:styleId="ad">
    <w:name w:val="Balloon Text"/>
    <w:basedOn w:val="a"/>
    <w:link w:val="ae"/>
    <w:uiPriority w:val="99"/>
    <w:semiHidden/>
    <w:unhideWhenUsed/>
    <w:rsid w:val="002B58D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B58D2"/>
    <w:rPr>
      <w:rFonts w:ascii="Tahoma" w:hAnsi="Tahoma" w:cs="Tahoma"/>
      <w:sz w:val="16"/>
      <w:szCs w:val="16"/>
    </w:rPr>
  </w:style>
  <w:style w:type="paragraph" w:styleId="af">
    <w:name w:val="List Paragraph"/>
    <w:basedOn w:val="a"/>
    <w:uiPriority w:val="34"/>
    <w:qFormat/>
    <w:rsid w:val="008677C0"/>
    <w:pPr>
      <w:ind w:left="720"/>
      <w:contextualSpacing/>
    </w:pPr>
  </w:style>
  <w:style w:type="table" w:styleId="af0">
    <w:name w:val="Table Grid"/>
    <w:basedOn w:val="a1"/>
    <w:uiPriority w:val="59"/>
    <w:rsid w:val="00D16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39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Индекс промышленного производства в 2014-2015 гг., </a:t>
            </a:r>
          </a:p>
          <a:p>
            <a:pPr>
              <a:defRPr sz="1000"/>
            </a:pPr>
            <a:r>
              <a:rPr lang="ru-RU" sz="1000"/>
              <a:t> в % к соответствующему периоду предыдущего года</a:t>
            </a:r>
          </a:p>
        </c:rich>
      </c:tx>
      <c:layout>
        <c:manualLayout>
          <c:xMode val="edge"/>
          <c:yMode val="edge"/>
          <c:x val="0.17357728775782374"/>
          <c:y val="4.632059881403713E-3"/>
        </c:manualLayout>
      </c:layout>
      <c:overlay val="0"/>
    </c:title>
    <c:autoTitleDeleted val="0"/>
    <c:plotArea>
      <c:layout>
        <c:manualLayout>
          <c:layoutTarget val="inner"/>
          <c:xMode val="edge"/>
          <c:yMode val="edge"/>
          <c:x val="0.10839532989410806"/>
          <c:y val="0.33652069353399788"/>
          <c:w val="0.84495499070573743"/>
          <c:h val="0.50095269083100058"/>
        </c:manualLayout>
      </c:layout>
      <c:lineChart>
        <c:grouping val="stacked"/>
        <c:varyColors val="0"/>
        <c:ser>
          <c:idx val="0"/>
          <c:order val="0"/>
          <c:tx>
            <c:strRef>
              <c:f>Лист1!$B$1</c:f>
              <c:strCache>
                <c:ptCount val="1"/>
                <c:pt idx="0">
                  <c:v>ИПП</c:v>
                </c:pt>
              </c:strCache>
            </c:strRef>
          </c:tx>
          <c:spPr>
            <a:ln>
              <a:solidFill>
                <a:schemeClr val="tx2">
                  <a:lumMod val="75000"/>
                </a:schemeClr>
              </a:solidFill>
            </a:ln>
          </c:spPr>
          <c:marker>
            <c:symbol val="circle"/>
            <c:size val="6"/>
            <c:spPr>
              <a:solidFill>
                <a:schemeClr val="accent1">
                  <a:lumMod val="40000"/>
                  <a:lumOff val="60000"/>
                </a:schemeClr>
              </a:solidFill>
            </c:spPr>
          </c:marker>
          <c:dPt>
            <c:idx val="13"/>
            <c:marker>
              <c:spPr>
                <a:solidFill>
                  <a:schemeClr val="accent1">
                    <a:lumMod val="40000"/>
                    <a:lumOff val="60000"/>
                  </a:schemeClr>
                </a:solidFill>
                <a:ln>
                  <a:solidFill>
                    <a:schemeClr val="tx2">
                      <a:lumMod val="40000"/>
                      <a:lumOff val="60000"/>
                    </a:schemeClr>
                  </a:solidFill>
                </a:ln>
              </c:spPr>
            </c:marker>
            <c:bubble3D val="0"/>
          </c:dPt>
          <c:dLbls>
            <c:spPr>
              <a:noFill/>
              <a:ln>
                <a:noFill/>
              </a:ln>
              <a:effectLst/>
            </c:spPr>
            <c:txPr>
              <a:bodyPr/>
              <a:lstStyle/>
              <a:p>
                <a:pPr>
                  <a:defRPr sz="750"/>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Лист1!$A$2:$A$14</c:f>
              <c:strCache>
                <c:ptCount val="13"/>
                <c:pt idx="0">
                  <c:v>11'14</c:v>
                </c:pt>
                <c:pt idx="1">
                  <c:v>12'14</c:v>
                </c:pt>
                <c:pt idx="2">
                  <c:v>01'15</c:v>
                </c:pt>
                <c:pt idx="3">
                  <c:v>02'15</c:v>
                </c:pt>
                <c:pt idx="4">
                  <c:v>03'15</c:v>
                </c:pt>
                <c:pt idx="5">
                  <c:v>04'15</c:v>
                </c:pt>
                <c:pt idx="6">
                  <c:v>05'15</c:v>
                </c:pt>
                <c:pt idx="7">
                  <c:v>06'15</c:v>
                </c:pt>
                <c:pt idx="8">
                  <c:v>07'15</c:v>
                </c:pt>
                <c:pt idx="9">
                  <c:v>08'15</c:v>
                </c:pt>
                <c:pt idx="10">
                  <c:v>09'15</c:v>
                </c:pt>
                <c:pt idx="11">
                  <c:v>10'15</c:v>
                </c:pt>
                <c:pt idx="12">
                  <c:v>11'15</c:v>
                </c:pt>
              </c:strCache>
            </c:strRef>
          </c:cat>
          <c:val>
            <c:numRef>
              <c:f>Лист1!$B$2:$B$14</c:f>
              <c:numCache>
                <c:formatCode>General</c:formatCode>
                <c:ptCount val="13"/>
                <c:pt idx="0">
                  <c:v>92.2</c:v>
                </c:pt>
                <c:pt idx="1">
                  <c:v>91.8</c:v>
                </c:pt>
                <c:pt idx="2">
                  <c:v>93.1</c:v>
                </c:pt>
                <c:pt idx="3">
                  <c:v>90.7</c:v>
                </c:pt>
                <c:pt idx="4">
                  <c:v>92.6</c:v>
                </c:pt>
                <c:pt idx="5">
                  <c:v>92.4</c:v>
                </c:pt>
                <c:pt idx="6">
                  <c:v>92.8</c:v>
                </c:pt>
                <c:pt idx="7">
                  <c:v>92.4</c:v>
                </c:pt>
                <c:pt idx="8">
                  <c:v>91.8</c:v>
                </c:pt>
                <c:pt idx="9">
                  <c:v>91.5</c:v>
                </c:pt>
                <c:pt idx="10">
                  <c:v>91.1</c:v>
                </c:pt>
                <c:pt idx="11">
                  <c:v>91.7</c:v>
                </c:pt>
                <c:pt idx="12">
                  <c:v>92.1</c:v>
                </c:pt>
              </c:numCache>
            </c:numRef>
          </c:val>
          <c:smooth val="0"/>
        </c:ser>
        <c:dLbls>
          <c:showLegendKey val="0"/>
          <c:showVal val="0"/>
          <c:showCatName val="0"/>
          <c:showSerName val="0"/>
          <c:showPercent val="0"/>
          <c:showBubbleSize val="0"/>
        </c:dLbls>
        <c:marker val="1"/>
        <c:smooth val="0"/>
        <c:axId val="429083976"/>
        <c:axId val="429084760"/>
      </c:lineChart>
      <c:catAx>
        <c:axId val="429083976"/>
        <c:scaling>
          <c:orientation val="minMax"/>
        </c:scaling>
        <c:delete val="0"/>
        <c:axPos val="b"/>
        <c:numFmt formatCode="General" sourceLinked="0"/>
        <c:majorTickMark val="out"/>
        <c:minorTickMark val="none"/>
        <c:tickLblPos val="nextTo"/>
        <c:txPr>
          <a:bodyPr/>
          <a:lstStyle/>
          <a:p>
            <a:pPr>
              <a:defRPr sz="800"/>
            </a:pPr>
            <a:endParaRPr lang="ru-RU"/>
          </a:p>
        </c:txPr>
        <c:crossAx val="429084760"/>
        <c:crosses val="autoZero"/>
        <c:auto val="1"/>
        <c:lblAlgn val="ctr"/>
        <c:lblOffset val="100"/>
        <c:noMultiLvlLbl val="0"/>
      </c:catAx>
      <c:valAx>
        <c:axId val="429084760"/>
        <c:scaling>
          <c:orientation val="minMax"/>
          <c:max val="100"/>
          <c:min val="84"/>
        </c:scaling>
        <c:delete val="0"/>
        <c:axPos val="l"/>
        <c:majorGridlines/>
        <c:numFmt formatCode="General" sourceLinked="1"/>
        <c:majorTickMark val="out"/>
        <c:minorTickMark val="none"/>
        <c:tickLblPos val="nextTo"/>
        <c:crossAx val="429083976"/>
        <c:crosses val="autoZero"/>
        <c:crossBetween val="between"/>
        <c:majorUnit val="2"/>
      </c:valAx>
      <c:spPr>
        <a:noFill/>
      </c:spPr>
    </c:plotArea>
    <c:plotVisOnly val="1"/>
    <c:dispBlanksAs val="zero"/>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Ввод в действие жилых домов в 2012-2015 гг. (тыс. кв.м.)</a:t>
            </a:r>
            <a:endParaRPr lang="en-US" sz="1000"/>
          </a:p>
        </c:rich>
      </c:tx>
      <c:layout>
        <c:manualLayout>
          <c:xMode val="edge"/>
          <c:yMode val="edge"/>
          <c:x val="0.16700336700336701"/>
          <c:y val="3.3496222808214543E-2"/>
        </c:manualLayout>
      </c:layout>
      <c:overlay val="0"/>
    </c:title>
    <c:autoTitleDeleted val="0"/>
    <c:plotArea>
      <c:layout>
        <c:manualLayout>
          <c:layoutTarget val="inner"/>
          <c:xMode val="edge"/>
          <c:yMode val="edge"/>
          <c:x val="0.16670358865692247"/>
          <c:y val="0.29572860769453002"/>
          <c:w val="0.80735550258052613"/>
          <c:h val="0.5030795330911505"/>
        </c:manualLayout>
      </c:layout>
      <c:lineChart>
        <c:grouping val="stacked"/>
        <c:varyColors val="0"/>
        <c:ser>
          <c:idx val="0"/>
          <c:order val="0"/>
          <c:tx>
            <c:strRef>
              <c:f>Лист1!$A$2</c:f>
              <c:strCache>
                <c:ptCount val="1"/>
                <c:pt idx="0">
                  <c:v>ввод</c:v>
                </c:pt>
              </c:strCache>
            </c:strRef>
          </c:tx>
          <c:dLbls>
            <c:dLbl>
              <c:idx val="0"/>
              <c:layout>
                <c:manualLayout>
                  <c:x val="-9.0954602896860137E-2"/>
                  <c:y val="-7.08590058358253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2414919094709063E-2"/>
                  <c:y val="7.3697345208898063E-2"/>
                </c:manualLayout>
              </c:layout>
              <c:showLegendKey val="0"/>
              <c:showVal val="1"/>
              <c:showCatName val="0"/>
              <c:showSerName val="0"/>
              <c:showPercent val="0"/>
              <c:showBubbleSize val="0"/>
              <c:extLst>
                <c:ext xmlns:c15="http://schemas.microsoft.com/office/drawing/2012/chart" uri="{CE6537A1-D6FC-4f65-9D91-7224C49458BB}">
                  <c15:layout>
                    <c:manualLayout>
                      <c:w val="0.18730303914030946"/>
                      <c:h val="7.8627767111099214E-2"/>
                    </c:manualLayout>
                  </c15:layout>
                </c:ext>
              </c:extLst>
            </c:dLbl>
            <c:dLbl>
              <c:idx val="2"/>
              <c:layout>
                <c:manualLayout>
                  <c:x val="-9.0497715563332359E-2"/>
                  <c:y val="8.712988745259293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3882305115901021E-2"/>
                  <c:y val="-6.303576806997486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4482875875334412E-2"/>
                  <c:y val="6.663652689346850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Лист1!$B$1:$E$1</c:f>
              <c:strCache>
                <c:ptCount val="4"/>
                <c:pt idx="0">
                  <c:v>янв.-окт.12</c:v>
                </c:pt>
                <c:pt idx="1">
                  <c:v>янв.-окт.13</c:v>
                </c:pt>
                <c:pt idx="2">
                  <c:v>янв.-окт.14</c:v>
                </c:pt>
                <c:pt idx="3">
                  <c:v>янв.-окт.15</c:v>
                </c:pt>
              </c:strCache>
            </c:strRef>
          </c:cat>
          <c:val>
            <c:numRef>
              <c:f>Лист1!$B$2:$E$2</c:f>
              <c:numCache>
                <c:formatCode>General</c:formatCode>
                <c:ptCount val="4"/>
                <c:pt idx="0">
                  <c:v>1629</c:v>
                </c:pt>
                <c:pt idx="1">
                  <c:v>2156.3000000000002</c:v>
                </c:pt>
                <c:pt idx="2">
                  <c:v>2331.4</c:v>
                </c:pt>
                <c:pt idx="3" formatCode="0.0">
                  <c:v>2185.9</c:v>
                </c:pt>
              </c:numCache>
            </c:numRef>
          </c:val>
          <c:smooth val="0"/>
        </c:ser>
        <c:dLbls>
          <c:showLegendKey val="0"/>
          <c:showVal val="1"/>
          <c:showCatName val="0"/>
          <c:showSerName val="0"/>
          <c:showPercent val="0"/>
          <c:showBubbleSize val="0"/>
        </c:dLbls>
        <c:marker val="1"/>
        <c:smooth val="0"/>
        <c:axId val="429085544"/>
        <c:axId val="429867592"/>
      </c:lineChart>
      <c:catAx>
        <c:axId val="429085544"/>
        <c:scaling>
          <c:orientation val="minMax"/>
        </c:scaling>
        <c:delete val="0"/>
        <c:axPos val="b"/>
        <c:numFmt formatCode="General" sourceLinked="1"/>
        <c:majorTickMark val="out"/>
        <c:minorTickMark val="none"/>
        <c:tickLblPos val="nextTo"/>
        <c:txPr>
          <a:bodyPr rot="0" vert="horz"/>
          <a:lstStyle/>
          <a:p>
            <a:pPr>
              <a:defRPr sz="800"/>
            </a:pPr>
            <a:endParaRPr lang="ru-RU"/>
          </a:p>
        </c:txPr>
        <c:crossAx val="429867592"/>
        <c:crosses val="autoZero"/>
        <c:auto val="1"/>
        <c:lblAlgn val="ctr"/>
        <c:lblOffset val="100"/>
        <c:tickLblSkip val="1"/>
        <c:tickMarkSkip val="1"/>
        <c:noMultiLvlLbl val="0"/>
      </c:catAx>
      <c:valAx>
        <c:axId val="429867592"/>
        <c:scaling>
          <c:orientation val="minMax"/>
          <c:min val="1000"/>
        </c:scaling>
        <c:delete val="0"/>
        <c:axPos val="l"/>
        <c:majorGridlines>
          <c:spPr>
            <a:ln>
              <a:prstDash val="sysDot"/>
            </a:ln>
          </c:spPr>
        </c:majorGridlines>
        <c:numFmt formatCode="0" sourceLinked="0"/>
        <c:majorTickMark val="out"/>
        <c:minorTickMark val="none"/>
        <c:tickLblPos val="nextTo"/>
        <c:spPr>
          <a:ln>
            <a:prstDash val="sysDot"/>
          </a:ln>
        </c:spPr>
        <c:txPr>
          <a:bodyPr rot="0" vert="horz"/>
          <a:lstStyle/>
          <a:p>
            <a:pPr>
              <a:defRPr/>
            </a:pPr>
            <a:endParaRPr lang="ru-RU"/>
          </a:p>
        </c:txPr>
        <c:crossAx val="429085544"/>
        <c:crosses val="autoZero"/>
        <c:crossBetween val="between"/>
      </c:valAx>
      <c:spPr>
        <a:noFill/>
        <a:ln w="25400">
          <a:noFill/>
        </a:ln>
      </c:spPr>
    </c:plotArea>
    <c:plotVisOnly val="1"/>
    <c:dispBlanksAs val="zero"/>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Среднемесячная номинальная начисленная заработная плата</a:t>
            </a:r>
            <a:br>
              <a:rPr lang="ru-RU" sz="1000"/>
            </a:br>
            <a:r>
              <a:rPr lang="ru-RU" sz="1000"/>
              <a:t>в 2014-2015 гг., рублей</a:t>
            </a:r>
          </a:p>
        </c:rich>
      </c:tx>
      <c:layout>
        <c:manualLayout>
          <c:xMode val="edge"/>
          <c:yMode val="edge"/>
          <c:x val="0.21082073111799654"/>
          <c:y val="1.0850420347202794E-3"/>
        </c:manualLayout>
      </c:layout>
      <c:overlay val="0"/>
    </c:title>
    <c:autoTitleDeleted val="0"/>
    <c:plotArea>
      <c:layout>
        <c:manualLayout>
          <c:layoutTarget val="inner"/>
          <c:xMode val="edge"/>
          <c:yMode val="edge"/>
          <c:x val="0.13129227353074371"/>
          <c:y val="0.24570294854875424"/>
          <c:w val="0.85293814734197182"/>
          <c:h val="0.4898266739534643"/>
        </c:manualLayout>
      </c:layout>
      <c:lineChart>
        <c:grouping val="stacked"/>
        <c:varyColors val="0"/>
        <c:ser>
          <c:idx val="0"/>
          <c:order val="0"/>
          <c:tx>
            <c:strRef>
              <c:f>Лист1!$B$1</c:f>
              <c:strCache>
                <c:ptCount val="1"/>
                <c:pt idx="0">
                  <c:v>Ряд 1</c:v>
                </c:pt>
              </c:strCache>
            </c:strRef>
          </c:tx>
          <c:marker>
            <c:symbol val="triangle"/>
            <c:size val="5"/>
            <c:spPr>
              <a:solidFill>
                <a:schemeClr val="tx2">
                  <a:lumMod val="20000"/>
                  <a:lumOff val="80000"/>
                </a:schemeClr>
              </a:solidFill>
            </c:spPr>
          </c:marker>
          <c:dPt>
            <c:idx val="13"/>
            <c:bubble3D val="0"/>
          </c:dPt>
          <c:dLbls>
            <c:dLbl>
              <c:idx val="0"/>
              <c:layout>
                <c:manualLayout>
                  <c:x val="-3.6115296057306914E-2"/>
                  <c:y val="4.685425060375358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7697703175189791E-2"/>
                  <c:y val="-5.270723972003506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2220642997242679E-2"/>
                  <c:y val="5.270723972003499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6726982500863683E-2"/>
                  <c:y val="5.596845418019429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6.7706941641320101E-2"/>
                  <c:y val="-4.451498250218722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9652136217629921E-2"/>
                  <c:y val="5.7720909886264216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8.5757483157565595E-2"/>
                  <c:y val="-4.5197397200349959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6.3188265726711962E-2"/>
                  <c:y val="5.0776465441819706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7.6732114646806668E-2"/>
                  <c:y val="-4.3832185347526614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6.7702677733875408E-2"/>
                  <c:y val="-5.8403871391076147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6.3195372239119932E-2"/>
                  <c:y val="6.534831583552056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9.9289348759203103E-2"/>
                  <c:y val="-6.0334645669291372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5.2584638562778929E-3"/>
                  <c:y val="-5.3479877515310616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2.7560976547038502E-2"/>
                  <c:y val="-5.286125358183438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7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Лист1!$A$2:$A$14</c:f>
              <c:strCache>
                <c:ptCount val="13"/>
                <c:pt idx="0">
                  <c:v>янв.-окт.'14</c:v>
                </c:pt>
                <c:pt idx="1">
                  <c:v>янв.-ноя.'14</c:v>
                </c:pt>
                <c:pt idx="2">
                  <c:v>янв.-дек.'14</c:v>
                </c:pt>
                <c:pt idx="3">
                  <c:v>янв'15</c:v>
                </c:pt>
                <c:pt idx="4">
                  <c:v>янв.-фев.'15</c:v>
                </c:pt>
                <c:pt idx="5">
                  <c:v>янв.-март'15</c:v>
                </c:pt>
                <c:pt idx="6">
                  <c:v>янв.-апр.'15</c:v>
                </c:pt>
                <c:pt idx="7">
                  <c:v>янв.-май.'15</c:v>
                </c:pt>
                <c:pt idx="8">
                  <c:v>янв.-июн.'15</c:v>
                </c:pt>
                <c:pt idx="9">
                  <c:v>янв.-июл'15</c:v>
                </c:pt>
                <c:pt idx="10">
                  <c:v>янв.-авг.'15</c:v>
                </c:pt>
                <c:pt idx="11">
                  <c:v>янв.-сен.'15</c:v>
                </c:pt>
                <c:pt idx="12">
                  <c:v>янв.-окт.'15</c:v>
                </c:pt>
              </c:strCache>
            </c:strRef>
          </c:cat>
          <c:val>
            <c:numRef>
              <c:f>Лист1!$B$2:$B$14</c:f>
              <c:numCache>
                <c:formatCode>General</c:formatCode>
                <c:ptCount val="13"/>
                <c:pt idx="0">
                  <c:v>39226</c:v>
                </c:pt>
                <c:pt idx="1">
                  <c:v>39407</c:v>
                </c:pt>
                <c:pt idx="2">
                  <c:v>40660</c:v>
                </c:pt>
                <c:pt idx="3">
                  <c:v>39647</c:v>
                </c:pt>
                <c:pt idx="4">
                  <c:v>40081</c:v>
                </c:pt>
                <c:pt idx="5">
                  <c:v>40916</c:v>
                </c:pt>
                <c:pt idx="6">
                  <c:v>41717</c:v>
                </c:pt>
                <c:pt idx="7">
                  <c:v>41896</c:v>
                </c:pt>
                <c:pt idx="8">
                  <c:v>42377</c:v>
                </c:pt>
                <c:pt idx="9">
                  <c:v>42377</c:v>
                </c:pt>
                <c:pt idx="10">
                  <c:v>42276</c:v>
                </c:pt>
                <c:pt idx="11">
                  <c:v>42214</c:v>
                </c:pt>
                <c:pt idx="12">
                  <c:v>42322</c:v>
                </c:pt>
              </c:numCache>
            </c:numRef>
          </c:val>
          <c:smooth val="0"/>
        </c:ser>
        <c:dLbls>
          <c:showLegendKey val="0"/>
          <c:showVal val="0"/>
          <c:showCatName val="0"/>
          <c:showSerName val="0"/>
          <c:showPercent val="0"/>
          <c:showBubbleSize val="0"/>
        </c:dLbls>
        <c:marker val="1"/>
        <c:smooth val="0"/>
        <c:axId val="429868376"/>
        <c:axId val="429868768"/>
      </c:lineChart>
      <c:catAx>
        <c:axId val="429868376"/>
        <c:scaling>
          <c:orientation val="minMax"/>
        </c:scaling>
        <c:delete val="0"/>
        <c:axPos val="b"/>
        <c:numFmt formatCode="General" sourceLinked="0"/>
        <c:majorTickMark val="out"/>
        <c:minorTickMark val="none"/>
        <c:tickLblPos val="nextTo"/>
        <c:txPr>
          <a:bodyPr/>
          <a:lstStyle/>
          <a:p>
            <a:pPr>
              <a:defRPr sz="700"/>
            </a:pPr>
            <a:endParaRPr lang="ru-RU"/>
          </a:p>
        </c:txPr>
        <c:crossAx val="429868768"/>
        <c:crosses val="autoZero"/>
        <c:auto val="1"/>
        <c:lblAlgn val="ctr"/>
        <c:lblOffset val="100"/>
        <c:noMultiLvlLbl val="0"/>
      </c:catAx>
      <c:valAx>
        <c:axId val="429868768"/>
        <c:scaling>
          <c:orientation val="minMax"/>
          <c:max val="44000"/>
          <c:min val="35000"/>
        </c:scaling>
        <c:delete val="0"/>
        <c:axPos val="l"/>
        <c:majorGridlines>
          <c:spPr>
            <a:ln>
              <a:prstDash val="sysDot"/>
            </a:ln>
          </c:spPr>
        </c:majorGridlines>
        <c:numFmt formatCode="General" sourceLinked="1"/>
        <c:majorTickMark val="out"/>
        <c:minorTickMark val="none"/>
        <c:tickLblPos val="nextTo"/>
        <c:txPr>
          <a:bodyPr/>
          <a:lstStyle/>
          <a:p>
            <a:pPr>
              <a:defRPr sz="800"/>
            </a:pPr>
            <a:endParaRPr lang="ru-RU"/>
          </a:p>
        </c:txPr>
        <c:crossAx val="429868376"/>
        <c:crosses val="autoZero"/>
        <c:crossBetween val="between"/>
        <c:majorUnit val="2000"/>
        <c:minorUnit val="200"/>
      </c:valAx>
      <c:spPr>
        <a:noFill/>
      </c:spPr>
    </c:plotArea>
    <c:plotVisOnly val="1"/>
    <c:dispBlanksAs val="zero"/>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a:lstStyle/>
          <a:p>
            <a:pPr>
              <a:defRPr sz="1000"/>
            </a:pPr>
            <a:r>
              <a:rPr lang="ru-RU" sz="1000"/>
              <a:t>Индекс потребительских цен в 2013-2015 гг. (к декабрю предыдущего года)</a:t>
            </a:r>
          </a:p>
        </c:rich>
      </c:tx>
      <c:layout>
        <c:manualLayout>
          <c:xMode val="edge"/>
          <c:yMode val="edge"/>
          <c:x val="0.20016600489041436"/>
          <c:y val="1.8524696438847087E-2"/>
        </c:manualLayout>
      </c:layout>
      <c:overlay val="1"/>
    </c:title>
    <c:autoTitleDeleted val="0"/>
    <c:plotArea>
      <c:layout>
        <c:manualLayout>
          <c:layoutTarget val="inner"/>
          <c:xMode val="edge"/>
          <c:yMode val="edge"/>
          <c:x val="0.13347391325350802"/>
          <c:y val="0.20683249486237043"/>
          <c:w val="0.84647408238058108"/>
          <c:h val="0.49241263690206966"/>
        </c:manualLayout>
      </c:layout>
      <c:lineChart>
        <c:grouping val="standard"/>
        <c:varyColors val="0"/>
        <c:ser>
          <c:idx val="1"/>
          <c:order val="0"/>
          <c:tx>
            <c:strRef>
              <c:f>Sheet1!$A$4</c:f>
              <c:strCache>
                <c:ptCount val="1"/>
                <c:pt idx="0">
                  <c:v>2013</c:v>
                </c:pt>
              </c:strCache>
            </c:strRef>
          </c:tx>
          <c:marker>
            <c:symbol val="diamond"/>
            <c:size val="6"/>
            <c:spPr>
              <a:ln>
                <a:solidFill>
                  <a:srgbClr val="4F81BD">
                    <a:alpha val="64000"/>
                  </a:srgbClr>
                </a:solidFill>
              </a:ln>
            </c:spPr>
          </c:marker>
          <c:cat>
            <c:strRef>
              <c:f>Sheet1!$B$1:$M$1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Sheet1!$B$4:$M$4</c:f>
              <c:numCache>
                <c:formatCode>General</c:formatCode>
                <c:ptCount val="12"/>
                <c:pt idx="0">
                  <c:v>101.3</c:v>
                </c:pt>
                <c:pt idx="1">
                  <c:v>101.9</c:v>
                </c:pt>
                <c:pt idx="2">
                  <c:v>102.4</c:v>
                </c:pt>
                <c:pt idx="3">
                  <c:v>102.9</c:v>
                </c:pt>
                <c:pt idx="4">
                  <c:v>103.6</c:v>
                </c:pt>
                <c:pt idx="5">
                  <c:v>104.1</c:v>
                </c:pt>
                <c:pt idx="6">
                  <c:v>105.5</c:v>
                </c:pt>
                <c:pt idx="7">
                  <c:v>105</c:v>
                </c:pt>
                <c:pt idx="8">
                  <c:v>104.9</c:v>
                </c:pt>
                <c:pt idx="9">
                  <c:v>105.6</c:v>
                </c:pt>
                <c:pt idx="10">
                  <c:v>106.3</c:v>
                </c:pt>
                <c:pt idx="11">
                  <c:v>106.7</c:v>
                </c:pt>
              </c:numCache>
            </c:numRef>
          </c:val>
          <c:smooth val="0"/>
        </c:ser>
        <c:ser>
          <c:idx val="0"/>
          <c:order val="1"/>
          <c:tx>
            <c:strRef>
              <c:f>Sheet1!$A$3</c:f>
              <c:strCache>
                <c:ptCount val="1"/>
                <c:pt idx="0">
                  <c:v>2014</c:v>
                </c:pt>
              </c:strCache>
            </c:strRef>
          </c:tx>
          <c:spPr>
            <a:ln>
              <a:solidFill>
                <a:schemeClr val="tx2">
                  <a:lumMod val="40000"/>
                  <a:lumOff val="60000"/>
                </a:schemeClr>
              </a:solidFill>
            </a:ln>
          </c:spPr>
          <c:marker>
            <c:symbol val="square"/>
            <c:size val="5"/>
            <c:spPr>
              <a:solidFill>
                <a:schemeClr val="tx2">
                  <a:lumMod val="40000"/>
                  <a:lumOff val="60000"/>
                </a:schemeClr>
              </a:solidFill>
              <a:ln>
                <a:solidFill>
                  <a:schemeClr val="tx2">
                    <a:lumMod val="40000"/>
                    <a:lumOff val="60000"/>
                  </a:schemeClr>
                </a:solidFill>
              </a:ln>
            </c:spPr>
          </c:marker>
          <c:val>
            <c:numRef>
              <c:f>Sheet1!$B$3:$M$3</c:f>
              <c:numCache>
                <c:formatCode>General</c:formatCode>
                <c:ptCount val="12"/>
                <c:pt idx="0">
                  <c:v>101.1</c:v>
                </c:pt>
                <c:pt idx="1">
                  <c:v>101.9</c:v>
                </c:pt>
                <c:pt idx="2">
                  <c:v>103</c:v>
                </c:pt>
                <c:pt idx="3">
                  <c:v>103.9</c:v>
                </c:pt>
                <c:pt idx="4">
                  <c:v>105.2</c:v>
                </c:pt>
                <c:pt idx="5">
                  <c:v>105.8</c:v>
                </c:pt>
                <c:pt idx="6">
                  <c:v>106</c:v>
                </c:pt>
                <c:pt idx="7">
                  <c:v>105.9</c:v>
                </c:pt>
                <c:pt idx="8">
                  <c:v>106.5</c:v>
                </c:pt>
                <c:pt idx="9">
                  <c:v>107.5</c:v>
                </c:pt>
                <c:pt idx="10">
                  <c:v>109.4</c:v>
                </c:pt>
                <c:pt idx="11">
                  <c:v>113.3</c:v>
                </c:pt>
              </c:numCache>
            </c:numRef>
          </c:val>
          <c:smooth val="0"/>
        </c:ser>
        <c:ser>
          <c:idx val="2"/>
          <c:order val="2"/>
          <c:tx>
            <c:strRef>
              <c:f>Sheet1!$A$2</c:f>
              <c:strCache>
                <c:ptCount val="1"/>
                <c:pt idx="0">
                  <c:v>2015</c:v>
                </c:pt>
              </c:strCache>
            </c:strRef>
          </c:tx>
          <c:spPr>
            <a:ln>
              <a:solidFill>
                <a:schemeClr val="tx2"/>
              </a:solidFill>
            </a:ln>
          </c:spPr>
          <c:marker>
            <c:symbol val="circle"/>
            <c:size val="5"/>
            <c:spPr>
              <a:solidFill>
                <a:schemeClr val="tx2"/>
              </a:solidFill>
              <a:ln>
                <a:solidFill>
                  <a:schemeClr val="tx2"/>
                </a:solidFill>
              </a:ln>
            </c:spPr>
          </c:marker>
          <c:dLbls>
            <c:dLbl>
              <c:idx val="1"/>
              <c:layout>
                <c:manualLayout>
                  <c:x val="-6.2108262108262105E-2"/>
                  <c:y val="6.763835371642368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8.490028490028495E-2"/>
                  <c:y val="4.913696611235338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5.071225071225071E-2"/>
                  <c:y val="4.913696611235338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0.101994301994302"/>
                  <c:y val="-5.570423031071162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9.0598290598290651E-2"/>
                  <c:y val="-7.070116235470566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7.9202279202279208E-2"/>
                  <c:y val="5.095751919898901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7.9202279202279208E-2"/>
                  <c:y val="-5.570414809259953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8.4900284900285006E-2"/>
                  <c:y val="6.326320321070977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5.6410256410256411E-2"/>
                  <c:y val="-3.550222888805566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0"/>
              <c:layout>
                <c:manualLayout>
                  <c:x val="-2.5455728290374065E-2"/>
                  <c:y val="-6.3720923773417246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Sheet1!$B$2:$L$2</c:f>
              <c:numCache>
                <c:formatCode>General</c:formatCode>
                <c:ptCount val="11"/>
                <c:pt idx="0">
                  <c:v>105</c:v>
                </c:pt>
                <c:pt idx="1">
                  <c:v>107.3</c:v>
                </c:pt>
                <c:pt idx="2">
                  <c:v>108.4</c:v>
                </c:pt>
                <c:pt idx="3">
                  <c:v>108.9</c:v>
                </c:pt>
                <c:pt idx="4">
                  <c:v>109.1</c:v>
                </c:pt>
                <c:pt idx="5">
                  <c:v>109.3</c:v>
                </c:pt>
                <c:pt idx="6">
                  <c:v>110.1</c:v>
                </c:pt>
                <c:pt idx="7">
                  <c:v>110.1</c:v>
                </c:pt>
                <c:pt idx="8">
                  <c:v>110.7</c:v>
                </c:pt>
                <c:pt idx="9">
                  <c:v>111.4</c:v>
                </c:pt>
                <c:pt idx="10">
                  <c:v>112.1</c:v>
                </c:pt>
              </c:numCache>
            </c:numRef>
          </c:val>
          <c:smooth val="0"/>
        </c:ser>
        <c:dLbls>
          <c:showLegendKey val="0"/>
          <c:showVal val="0"/>
          <c:showCatName val="0"/>
          <c:showSerName val="0"/>
          <c:showPercent val="0"/>
          <c:showBubbleSize val="0"/>
        </c:dLbls>
        <c:marker val="1"/>
        <c:smooth val="0"/>
        <c:axId val="426628768"/>
        <c:axId val="426629160"/>
      </c:lineChart>
      <c:catAx>
        <c:axId val="426628768"/>
        <c:scaling>
          <c:orientation val="minMax"/>
        </c:scaling>
        <c:delete val="0"/>
        <c:axPos val="b"/>
        <c:numFmt formatCode="General" sourceLinked="1"/>
        <c:majorTickMark val="none"/>
        <c:minorTickMark val="none"/>
        <c:tickLblPos val="nextTo"/>
        <c:txPr>
          <a:bodyPr rot="-2640000" vert="horz"/>
          <a:lstStyle/>
          <a:p>
            <a:pPr>
              <a:defRPr sz="800"/>
            </a:pPr>
            <a:endParaRPr lang="ru-RU"/>
          </a:p>
        </c:txPr>
        <c:crossAx val="426629160"/>
        <c:crosses val="autoZero"/>
        <c:auto val="1"/>
        <c:lblAlgn val="ctr"/>
        <c:lblOffset val="100"/>
        <c:tickLblSkip val="1"/>
        <c:tickMarkSkip val="1"/>
        <c:noMultiLvlLbl val="0"/>
      </c:catAx>
      <c:valAx>
        <c:axId val="426629160"/>
        <c:scaling>
          <c:orientation val="minMax"/>
          <c:max val="115"/>
          <c:min val="100"/>
        </c:scaling>
        <c:delete val="0"/>
        <c:axPos val="l"/>
        <c:majorGridlines>
          <c:spPr>
            <a:ln>
              <a:prstDash val="sysDot"/>
            </a:ln>
          </c:spPr>
        </c:majorGridlines>
        <c:numFmt formatCode="General" sourceLinked="1"/>
        <c:majorTickMark val="none"/>
        <c:minorTickMark val="none"/>
        <c:tickLblPos val="nextTo"/>
        <c:txPr>
          <a:bodyPr rot="0" vert="horz"/>
          <a:lstStyle/>
          <a:p>
            <a:pPr>
              <a:defRPr/>
            </a:pPr>
            <a:endParaRPr lang="ru-RU"/>
          </a:p>
        </c:txPr>
        <c:crossAx val="426628768"/>
        <c:crosses val="autoZero"/>
        <c:crossBetween val="between"/>
        <c:majorUnit val="2"/>
      </c:valAx>
      <c:spPr>
        <a:noFill/>
      </c:spPr>
    </c:plotArea>
    <c:legend>
      <c:legendPos val="b"/>
      <c:layout>
        <c:manualLayout>
          <c:xMode val="edge"/>
          <c:yMode val="edge"/>
          <c:x val="9.5513469738215812E-2"/>
          <c:y val="0.91048688291953939"/>
          <c:w val="0.8025599999999985"/>
          <c:h val="7.1950090008382497E-2"/>
        </c:manualLayout>
      </c:layout>
      <c:overlay val="0"/>
    </c:legend>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ru-RU" sz="900"/>
              <a:t>Рождаемость. Смертность. </a:t>
            </a:r>
          </a:p>
          <a:p>
            <a:pPr>
              <a:defRPr sz="900"/>
            </a:pPr>
            <a:r>
              <a:rPr lang="ru-RU" sz="900"/>
              <a:t>Естественная убыль населения</a:t>
            </a:r>
          </a:p>
        </c:rich>
      </c:tx>
      <c:layout>
        <c:manualLayout>
          <c:xMode val="edge"/>
          <c:yMode val="edge"/>
          <c:x val="0.16535254521756207"/>
          <c:y val="3.9933658599424077E-3"/>
        </c:manualLayout>
      </c:layout>
      <c:overlay val="0"/>
    </c:title>
    <c:autoTitleDeleted val="0"/>
    <c:plotArea>
      <c:layout>
        <c:manualLayout>
          <c:layoutTarget val="inner"/>
          <c:xMode val="edge"/>
          <c:yMode val="edge"/>
          <c:x val="0.11558555180602424"/>
          <c:y val="0.20156905044403697"/>
          <c:w val="0.8377420679557912"/>
          <c:h val="0.45018243089984122"/>
        </c:manualLayout>
      </c:layout>
      <c:barChart>
        <c:barDir val="col"/>
        <c:grouping val="clustered"/>
        <c:varyColors val="0"/>
        <c:ser>
          <c:idx val="0"/>
          <c:order val="0"/>
          <c:tx>
            <c:strRef>
              <c:f>Лист1!$B$1</c:f>
              <c:strCache>
                <c:ptCount val="1"/>
                <c:pt idx="0">
                  <c:v>число умерших</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 г.</c:v>
                </c:pt>
                <c:pt idx="1">
                  <c:v>2015 г.</c:v>
                </c:pt>
              </c:strCache>
            </c:strRef>
          </c:cat>
          <c:val>
            <c:numRef>
              <c:f>Лист1!$B$2:$B$3</c:f>
              <c:numCache>
                <c:formatCode>General</c:formatCode>
                <c:ptCount val="2"/>
                <c:pt idx="0">
                  <c:v>11.7</c:v>
                </c:pt>
                <c:pt idx="1">
                  <c:v>11.9</c:v>
                </c:pt>
              </c:numCache>
            </c:numRef>
          </c:val>
        </c:ser>
        <c:ser>
          <c:idx val="1"/>
          <c:order val="1"/>
          <c:tx>
            <c:strRef>
              <c:f>Лист1!$C$1</c:f>
              <c:strCache>
                <c:ptCount val="1"/>
                <c:pt idx="0">
                  <c:v>число родившихся</c:v>
                </c:pt>
              </c:strCache>
            </c:strRef>
          </c:tx>
          <c:spPr>
            <a:solidFill>
              <a:schemeClr val="tx2">
                <a:lumMod val="20000"/>
                <a:lumOff val="80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 г.</c:v>
                </c:pt>
                <c:pt idx="1">
                  <c:v>2015 г.</c:v>
                </c:pt>
              </c:strCache>
            </c:strRef>
          </c:cat>
          <c:val>
            <c:numRef>
              <c:f>Лист1!$C$2:$C$3</c:f>
              <c:numCache>
                <c:formatCode>General</c:formatCode>
                <c:ptCount val="2"/>
                <c:pt idx="0">
                  <c:v>13</c:v>
                </c:pt>
                <c:pt idx="1">
                  <c:v>13.4</c:v>
                </c:pt>
              </c:numCache>
            </c:numRef>
          </c:val>
        </c:ser>
        <c:ser>
          <c:idx val="2"/>
          <c:order val="2"/>
          <c:tx>
            <c:strRef>
              <c:f>Лист1!$D$1</c:f>
              <c:strCache>
                <c:ptCount val="1"/>
                <c:pt idx="0">
                  <c:v>естественный прирост, убыль</c:v>
                </c:pt>
              </c:strCache>
            </c:strRef>
          </c:tx>
          <c:spPr>
            <a:solidFill>
              <a:schemeClr val="accent1">
                <a:lumMod val="75000"/>
              </a:schemeClr>
            </a:solidFill>
          </c:spPr>
          <c:invertIfNegative val="0"/>
          <c:dLbls>
            <c:dLbl>
              <c:idx val="0"/>
              <c:layout>
                <c:manualLayout>
                  <c:x val="3.6281179138322052E-2"/>
                  <c:y val="5.6875755699076855E-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 г.</c:v>
                </c:pt>
                <c:pt idx="1">
                  <c:v>2015 г.</c:v>
                </c:pt>
              </c:strCache>
            </c:strRef>
          </c:cat>
          <c:val>
            <c:numRef>
              <c:f>Лист1!$D$2:$D$3</c:f>
              <c:numCache>
                <c:formatCode>General</c:formatCode>
                <c:ptCount val="2"/>
                <c:pt idx="0" formatCode="0.0">
                  <c:v>1.3</c:v>
                </c:pt>
                <c:pt idx="1">
                  <c:v>1.5</c:v>
                </c:pt>
              </c:numCache>
            </c:numRef>
          </c:val>
        </c:ser>
        <c:dLbls>
          <c:showLegendKey val="0"/>
          <c:showVal val="1"/>
          <c:showCatName val="0"/>
          <c:showSerName val="0"/>
          <c:showPercent val="0"/>
          <c:showBubbleSize val="0"/>
        </c:dLbls>
        <c:gapWidth val="75"/>
        <c:overlap val="-25"/>
        <c:axId val="428988632"/>
        <c:axId val="428989024"/>
      </c:barChart>
      <c:catAx>
        <c:axId val="428988632"/>
        <c:scaling>
          <c:orientation val="minMax"/>
        </c:scaling>
        <c:delete val="0"/>
        <c:axPos val="b"/>
        <c:numFmt formatCode="General" sourceLinked="1"/>
        <c:majorTickMark val="none"/>
        <c:minorTickMark val="none"/>
        <c:tickLblPos val="nextTo"/>
        <c:crossAx val="428989024"/>
        <c:crosses val="autoZero"/>
        <c:auto val="0"/>
        <c:lblAlgn val="ctr"/>
        <c:lblOffset val="100"/>
        <c:noMultiLvlLbl val="0"/>
      </c:catAx>
      <c:valAx>
        <c:axId val="428989024"/>
        <c:scaling>
          <c:orientation val="minMax"/>
          <c:max val="20"/>
          <c:min val="-3"/>
        </c:scaling>
        <c:delete val="1"/>
        <c:axPos val="l"/>
        <c:numFmt formatCode="General" sourceLinked="1"/>
        <c:majorTickMark val="none"/>
        <c:minorTickMark val="none"/>
        <c:tickLblPos val="none"/>
        <c:crossAx val="428988632"/>
        <c:crosses val="autoZero"/>
        <c:crossBetween val="between"/>
        <c:majorUnit val="5"/>
      </c:valAx>
      <c:spPr>
        <a:noFill/>
      </c:spPr>
    </c:plotArea>
    <c:legend>
      <c:legendPos val="b"/>
      <c:layout>
        <c:manualLayout>
          <c:xMode val="edge"/>
          <c:yMode val="edge"/>
          <c:x val="0"/>
          <c:y val="0.73087003013512186"/>
          <c:w val="0.99977324263038547"/>
          <c:h val="0.25982955834224425"/>
        </c:manualLayout>
      </c:layout>
      <c:overlay val="0"/>
    </c:legend>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6278C-B5B6-408E-8D57-6828B7749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1139</Words>
  <Characters>6496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CEDIPT</Company>
  <LinksUpToDate>false</LinksUpToDate>
  <CharactersWithSpaces>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Солёнова Е.Л.</dc:creator>
  <cp:lastModifiedBy>Кузьменок Екатерина Владимировна</cp:lastModifiedBy>
  <cp:revision>2</cp:revision>
  <cp:lastPrinted>2013-08-01T14:29:00Z</cp:lastPrinted>
  <dcterms:created xsi:type="dcterms:W3CDTF">2015-12-21T15:26:00Z</dcterms:created>
  <dcterms:modified xsi:type="dcterms:W3CDTF">2015-12-21T15:26:00Z</dcterms:modified>
</cp:coreProperties>
</file>